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00" w:after="120"/>
        <w:jc w:val="center"/>
        <w:rPr/>
      </w:pPr>
      <w:r>
        <w:rPr>
          <w:b/>
          <w:bCs/>
          <w:color w:val="132641"/>
          <w:sz w:val="40"/>
          <w:szCs w:val="40"/>
        </w:rPr>
        <w:t>THE FUTURE FOOD SECURITY OF THE UNITED KINGDOM</w:t>
      </w:r>
    </w:p>
    <w:p>
      <w:pPr>
        <w:pStyle w:val="Normal"/>
        <w:spacing w:before="0" w:after="60"/>
        <w:jc w:val="center"/>
        <w:rPr/>
      </w:pPr>
      <w:r>
        <w:rPr>
          <w:i/>
          <w:iCs/>
          <w:color w:val="444444"/>
          <w:sz w:val="26"/>
          <w:szCs w:val="26"/>
        </w:rPr>
        <w:t>Why the nation's food security depends on defending the Lincolnshire coast</w:t>
      </w:r>
    </w:p>
    <w:p>
      <w:pPr>
        <w:pStyle w:val="Normal"/>
        <w:spacing w:before="0" w:after="200"/>
        <w:jc w:val="center"/>
        <w:rPr/>
      </w:pPr>
      <w:r>
        <w:rPr>
          <w:b/>
          <w:bCs/>
          <w:sz w:val="24"/>
          <w:szCs w:val="24"/>
        </w:rPr>
        <w:t>Introduction</w:t>
      </w:r>
    </w:p>
    <w:p>
      <w:pPr>
        <w:pStyle w:val="Normal"/>
        <w:spacing w:before="0" w:after="40"/>
        <w:jc w:val="center"/>
        <w:rPr/>
      </w:pPr>
      <w:r>
        <w:rPr>
          <w:b/>
          <w:bCs/>
          <w:color w:val="132641"/>
          <w:sz w:val="24"/>
          <w:szCs w:val="24"/>
        </w:rPr>
        <w:t>Councillor Steve Kirk FCMI CMgr</w:t>
      </w:r>
    </w:p>
    <w:p>
      <w:pPr>
        <w:pStyle w:val="Normal"/>
        <w:spacing w:before="0" w:after="40"/>
        <w:jc w:val="center"/>
        <w:rPr/>
      </w:pPr>
      <w:r>
        <w:rPr/>
        <w:t>ELDC Portfolio Holder for the Coastal Economy</w:t>
      </w:r>
    </w:p>
    <w:p>
      <w:pPr>
        <w:pStyle w:val="Normal"/>
        <w:pBdr>
          <w:bottom w:val="single" w:sz="6" w:space="8" w:color="132641"/>
        </w:pBdr>
        <w:spacing w:before="0" w:after="240"/>
        <w:jc w:val="center"/>
        <w:rPr/>
      </w:pPr>
      <w:r>
        <w:rPr>
          <w:i/>
          <w:iCs/>
          <w:color w:val="555555"/>
          <w:sz w:val="18"/>
          <w:szCs w:val="18"/>
        </w:rPr>
        <w:t>Responsibilities: Coastal Visitor Economy, Business Interaction and Engagement, Employment and Skills, Coastal Flood and Water Management and Water Safety</w:t>
      </w:r>
    </w:p>
    <w:p>
      <w:pPr>
        <w:pStyle w:val="Normal"/>
        <w:spacing w:lineRule="auto" w:line="300" w:before="0" w:after="200"/>
        <w:jc w:val="both"/>
        <w:rPr/>
      </w:pPr>
      <w:r>
        <w:rPr/>
        <w:t>This paper advances a single, connected argument. The United Kingdom's dependence on imported food is a strategic vulnerability, and recent events and hard history alike prove that imports cannot be guaranteed. The only reliable hedge against unreliable imports is domestic production. Domestic production, to a degree unmatched by any other part of the country, means Lincolnshire. And Lincolnshire's productive land survives only behind engineered sea defences that rising seas are now placing under threat. Each link in this chain depends on the one before it — which means that the defence of the Lincolnshire coast is not a regional flood-management question. It is the foundation on which the nation's future food security rests.</w:t>
      </w:r>
    </w:p>
    <w:p>
      <w:pPr>
        <w:pStyle w:val="Heading2"/>
        <w:spacing w:before="320" w:after="160"/>
        <w:rPr/>
      </w:pPr>
      <w:r>
        <w:rPr>
          <w:b/>
          <w:bCs/>
          <w:color w:val="132641"/>
        </w:rPr>
        <w:t>1. The Vulnerability: A Nation That No Longer Feeds Itself</w:t>
      </w:r>
    </w:p>
    <w:p>
      <w:pPr>
        <w:pStyle w:val="Normal"/>
        <w:spacing w:lineRule="auto" w:line="300" w:before="0" w:after="200"/>
        <w:jc w:val="both"/>
        <w:rPr/>
      </w:pPr>
      <w:r>
        <w:rPr/>
        <w:t>Food security is no longer an abstract concern for the United Kingdom; it is a measurable national vulnerability, and the numbers are moving in the wrong direction. Defra's latest Agriculture in the UK statistical release estimates the food production to supply ratio at 60% for all food and 72% for indigenous-type food in 2025, down from 65% the previous year, as climate-driven shocks to global commodity markets pushed up the cost of key imports.</w:t>
      </w:r>
      <w:r>
        <w:rPr>
          <w:vertAlign w:val="superscript"/>
        </w:rPr>
        <w:t>1,2</w:t>
      </w:r>
      <w:r>
        <w:rPr/>
        <w:t xml:space="preserve"> The ratio has fallen from over 80% in the 1980s,</w:t>
      </w:r>
      <w:r>
        <w:rPr>
          <w:vertAlign w:val="superscript"/>
        </w:rPr>
        <w:t>1</w:t>
      </w:r>
      <w:r>
        <w:rPr/>
        <w:t xml:space="preserve"> and the trade balance tells the same story: in 2025 the value of food, feed and drink imports rose by 4.8% to £67.8 billion while exports fell to £25.7 billion, widening the trade gap to £42.1 billion — an increase of 8.6% in a single year.</w:t>
      </w:r>
      <w:r>
        <w:rPr>
          <w:vertAlign w:val="superscript"/>
        </w:rPr>
        <w:t>1</w:t>
      </w:r>
    </w:p>
    <w:p>
      <w:pPr>
        <w:pStyle w:val="Normal"/>
        <w:spacing w:lineRule="auto" w:line="300" w:before="0" w:after="200"/>
        <w:jc w:val="both"/>
        <w:rPr/>
      </w:pPr>
      <w:r>
        <w:rPr/>
        <w:t>In 2025, only 58% of domestic consumption came from UK production, with 23% from the EU and 19% from the rest of the world, and some countries or regions are uniquely important to the supply of particular products, reducing the security of that supply.</w:t>
      </w:r>
      <w:r>
        <w:rPr>
          <w:vertAlign w:val="superscript"/>
        </w:rPr>
        <w:t>1</w:t>
      </w:r>
      <w:r>
        <w:rPr/>
        <w:t xml:space="preserve"> The exposure is most acute in fresh produce. The United Kingdom consistently imports over 30,000 tonnes of fresh tomatoes every month of the year, with home production accounting for only around 17%; through the winter months, the majority of imports come from just two countries, Morocco and Spain.</w:t>
      </w:r>
      <w:r>
        <w:rPr>
          <w:vertAlign w:val="superscript"/>
        </w:rPr>
        <w:t>3</w:t>
      </w:r>
      <w:r>
        <w:rPr/>
        <w:t xml:space="preserve"> Nor are the stakes confined to the farm gate: the UK food supply chain represents 6.8% of gross value added — around £107 billion — and four million jobs.</w:t>
      </w:r>
      <w:r>
        <w:rPr>
          <w:vertAlign w:val="superscript"/>
        </w:rPr>
        <w:t>4</w:t>
      </w:r>
      <w:r>
        <w:rPr/>
        <w:t xml:space="preserve"> As the then Prime Minister acknowledged in 2024, “food security is a vital part of our national security”.</w:t>
      </w:r>
      <w:r>
        <w:rPr>
          <w:vertAlign w:val="superscript"/>
        </w:rPr>
        <w:t>5</w:t>
      </w:r>
      <w:r>
        <w:rPr/>
        <w:t xml:space="preserve"> The question this paper poses is whether that recognition will be matched by action before events force the issue — because events, as the next section shows, are already testing the assumption that the world will always sell us dinner.</w:t>
      </w:r>
    </w:p>
    <w:p>
      <w:pPr>
        <w:pStyle w:val="Heading2"/>
        <w:spacing w:before="320" w:after="160"/>
        <w:rPr/>
      </w:pPr>
      <w:r>
        <w:rPr>
          <w:b/>
          <w:bCs/>
          <w:color w:val="132641"/>
        </w:rPr>
        <w:t>2. The Proof: When Imports Fail</w:t>
      </w:r>
    </w:p>
    <w:p>
      <w:pPr>
        <w:pStyle w:val="Normal"/>
        <w:spacing w:lineRule="auto" w:line="300" w:before="0" w:after="200"/>
        <w:jc w:val="both"/>
        <w:rPr/>
      </w:pPr>
      <w:r>
        <w:rPr/>
        <w:t>None of this requires hypothetical scenarios, because the last four years have provided a live demonstration of what import dependence costs. Russia's invasion of Ukraine disrupted supplies from two of the world's leading suppliers of wheat, barley, sunflower oil and other affordable food products, exacerbating a global food crisis;</w:t>
      </w:r>
      <w:r>
        <w:rPr>
          <w:vertAlign w:val="superscript"/>
        </w:rPr>
        <w:t>6</w:t>
      </w:r>
      <w:r>
        <w:rPr/>
        <w:t xml:space="preserve"> when Russia exited the Black Sea grain deal in mid-2023 and India restricted rice exports in the same summer, sunflower oil prices surged 15% in a single month.</w:t>
      </w:r>
      <w:r>
        <w:rPr>
          <w:vertAlign w:val="superscript"/>
        </w:rPr>
        <w:t>7</w:t>
      </w:r>
      <w:r>
        <w:rPr/>
        <w:t xml:space="preserve"> By June 2024, sixteen countries had implemented twenty-two food export bans on major commodities including wheat, soybeans, rice, sugar and vegetable oils.</w:t>
      </w:r>
      <w:r>
        <w:rPr>
          <w:vertAlign w:val="superscript"/>
        </w:rPr>
        <w:t>8</w:t>
      </w:r>
      <w:r>
        <w:rPr/>
        <w:t xml:space="preserve"> The lesson is uncomfortable but unavoidable: when producer nations feel their own supply threatened, they close the door — and import-dependent nations go to the back of the queue.</w:t>
      </w:r>
    </w:p>
    <w:p>
      <w:pPr>
        <w:pStyle w:val="Normal"/>
        <w:spacing w:lineRule="auto" w:line="300" w:before="0" w:after="200"/>
        <w:jc w:val="both"/>
        <w:rPr/>
      </w:pPr>
      <w:r>
        <w:rPr/>
        <w:t>The sea lanes themselves have proven no more reliable. From November 2023, Houthi attacks on commercial vessels forced shipping away from the Red Sea — through which some 12% of all container vessels pass — with four of the five largest container shipping companies suspending routes within weeks, adding a 4,000-mile diversion around the Cape of Good Hope and roughly ten additional days per voyage.</w:t>
      </w:r>
      <w:r>
        <w:rPr>
          <w:vertAlign w:val="superscript"/>
        </w:rPr>
        <w:t>9</w:t>
      </w:r>
      <w:r>
        <w:rPr/>
        <w:t xml:space="preserve"> And Britain has already had a taste of what disruption means at the supermarket shelf. In February 2023, unusual weather in southern Spain and Morocco — the two countries supplying the majority of the UK's winter salad imports — left major supermarkets including Tesco, Asda, Morrisons and Aldi restricting customer purchases of cucumbers, tomatoes and peppers, a shortage worsened by reduced winter greenhouse production in Britain and the Netherlands caused by high energy costs.</w:t>
      </w:r>
      <w:r>
        <w:rPr>
          <w:vertAlign w:val="superscript"/>
        </w:rPr>
        <w:t>3,10</w:t>
      </w:r>
      <w:r>
        <w:rPr/>
        <w:t xml:space="preserve"> Rationing, in other words, has already quietly returned to British supermarkets — imposed not by government but by weather two thousand miles away. Around 33% of all imported food now comes from countries facing significant climate change risk,</w:t>
      </w:r>
      <w:r>
        <w:rPr>
          <w:vertAlign w:val="superscript"/>
        </w:rPr>
        <w:t>11</w:t>
      </w:r>
      <w:r>
        <w:rPr/>
        <w:t xml:space="preserve"> and the consequences are compounding: tea and coffee import values rose by almost 20% in 2025, costing more than £1 billion extra compared with 2024, while cereal import values rose following the 2025 drought that contributed to England's second worst harvest on record.</w:t>
      </w:r>
      <w:r>
        <w:rPr>
          <w:vertAlign w:val="superscript"/>
        </w:rPr>
        <w:t>2</w:t>
      </w:r>
      <w:r>
        <w:rPr/>
        <w:t xml:space="preserve"> If this is what peacetime disruption looks like, the historical record shows what the full failure of imports means — because Britain has lived through it within living memory.</w:t>
      </w:r>
    </w:p>
    <w:p>
      <w:pPr>
        <w:pStyle w:val="Heading2"/>
        <w:spacing w:before="320" w:after="160"/>
        <w:rPr/>
      </w:pPr>
      <w:r>
        <w:rPr>
          <w:b/>
          <w:bCs/>
          <w:color w:val="132641"/>
        </w:rPr>
        <w:t>3. The Precedent: 1939–1954 — The Last Time the Imports Stopped</w:t>
      </w:r>
    </w:p>
    <w:p>
      <w:pPr>
        <w:pStyle w:val="Normal"/>
        <w:spacing w:lineRule="auto" w:line="300" w:before="0" w:after="200"/>
        <w:jc w:val="both"/>
        <w:rPr/>
      </w:pPr>
      <w:r>
        <w:rPr/>
        <w:t>In the decade before the Second World War, Britain imported around 22 million tons of food a year — almost two-thirds of its food supply</w:t>
      </w:r>
      <w:r>
        <w:rPr>
          <w:vertAlign w:val="superscript"/>
        </w:rPr>
        <w:t>12</w:t>
      </w:r>
      <w:r>
        <w:rPr/>
        <w:t xml:space="preserve"> — and in 1939 only around 30% of everything Britons ate was produced domestically.</w:t>
      </w:r>
      <w:r>
        <w:rPr>
          <w:vertAlign w:val="superscript"/>
        </w:rPr>
        <w:t>13</w:t>
      </w:r>
      <w:r>
        <w:rPr/>
        <w:t xml:space="preserve"> Hitler understood precisely what that meant: early in 1940 he set out to starve the British by sending submarines into the North Atlantic to sink the convoys bringing essential foods, and at the worst point of the war, half a million tons of shipping went to the bottom of the Atlantic in a single month. Wartime food imports were halved, to around 11.5 million tons.</w:t>
      </w:r>
      <w:r>
        <w:rPr>
          <w:vertAlign w:val="superscript"/>
        </w:rPr>
        <w:t>12</w:t>
      </w:r>
    </w:p>
    <w:p>
      <w:pPr>
        <w:pStyle w:val="Normal"/>
        <w:spacing w:lineRule="auto" w:line="300" w:before="0" w:after="200"/>
        <w:jc w:val="both"/>
        <w:rPr/>
      </w:pPr>
      <w:r>
        <w:rPr/>
        <w:t>The state's response was total. Rationing of bacon, butter and sugar began in January 1940, followed by meat, cheese, margarine, eggs, milk and tea;</w:t>
      </w:r>
      <w:r>
        <w:rPr>
          <w:vertAlign w:val="superscript"/>
        </w:rPr>
        <w:t>14</w:t>
      </w:r>
      <w:r>
        <w:rPr/>
        <w:t xml:space="preserve"> lemons and bananas became unobtainable for most of the war, and by 1942 many young children, questioned about bananas, did not believe they were real.</w:t>
      </w:r>
      <w:r>
        <w:rPr>
          <w:vertAlign w:val="superscript"/>
        </w:rPr>
        <w:t>15</w:t>
      </w:r>
      <w:r>
        <w:rPr/>
        <w:t xml:space="preserve"> The nation dug itself out of danger — literally. Allotments grew from 815,000 in 1939 to 1.7 million within three years, alongside five million private gardens,</w:t>
      </w:r>
      <w:r>
        <w:rPr>
          <w:vertAlign w:val="superscript"/>
        </w:rPr>
        <w:t>14</w:t>
      </w:r>
      <w:r>
        <w:rPr/>
        <w:t xml:space="preserve"> and some 10,000 square miles of additional land was brought into production.</w:t>
      </w:r>
      <w:r>
        <w:rPr>
          <w:vertAlign w:val="superscript"/>
        </w:rPr>
        <w:t>16</w:t>
      </w:r>
      <w:r>
        <w:rPr/>
        <w:t xml:space="preserve"> It is credible that without the additional food this produced, the U-boat blockade could have starved Britain into submission.</w:t>
      </w:r>
      <w:r>
        <w:rPr>
          <w:vertAlign w:val="superscript"/>
        </w:rPr>
        <w:t>17</w:t>
      </w:r>
    </w:p>
    <w:p>
      <w:pPr>
        <w:pStyle w:val="Normal"/>
        <w:spacing w:lineRule="auto" w:line="300" w:before="0" w:after="200"/>
        <w:jc w:val="both"/>
        <w:rPr/>
      </w:pPr>
      <w:r>
        <w:rPr/>
        <w:t>But the most instructive lesson comes after victory: rationing did not end in 1945. The country was bankrupt and could not afford to resume food imports at pre-war levels; bread — never rationed during the war itself — was rationed for a period from 1946 following a poor harvest; and rationing only finally ended in 1954, nine years after the war was won.</w:t>
      </w:r>
      <w:r>
        <w:rPr>
          <w:vertAlign w:val="superscript"/>
        </w:rPr>
        <w:t>17</w:t>
      </w:r>
      <w:r>
        <w:rPr/>
        <w:t xml:space="preserve"> Import dependence, once entrenched, could not be reversed on demand even by a victorious nation; it took fifteen years of queues, coupons and hunger to escape it. Today's threats to the sea lanes are missiles rather than torpedoes, and today's blockades are export bans and crop failures rather than wolf-packs — but the strategic lesson of 1940 is unchanged: a nation that cannot feed itself has handed a weapon to every adversary and a hostage to every misfortune. And in 1939 Britain at least retained the land on which to dig for victory. The question that follows is where the capacity to feed ourselves now resides — and whether we intend to keep it.</w:t>
      </w:r>
    </w:p>
    <w:p>
      <w:pPr>
        <w:pStyle w:val="Heading2"/>
        <w:spacing w:before="320" w:after="160"/>
        <w:rPr/>
      </w:pPr>
      <w:r>
        <w:rPr>
          <w:b/>
          <w:bCs/>
          <w:color w:val="132641"/>
        </w:rPr>
        <w:t>4. The Answer: Domestic Production Means Lincolnshire</w:t>
      </w:r>
    </w:p>
    <w:p>
      <w:pPr>
        <w:pStyle w:val="Normal"/>
        <w:spacing w:lineRule="auto" w:line="300" w:before="0" w:after="200"/>
        <w:jc w:val="both"/>
        <w:rPr/>
      </w:pPr>
      <w:r>
        <w:rPr/>
        <w:t>If imports cannot be guaranteed, the only reliable hedge is domestic production — and any serious strategy for domestic production must begin in Lincolnshire, because no other part of the country carries comparable weight in the national food chain. Greater Lincolnshire's agriculture produces over £2 billion of crops and livestock — 11% of the English total — with particular strengths in fresh vegetables at 30% of English production, 20% of sugar beet and 19% of poultry.</w:t>
      </w:r>
      <w:r>
        <w:rPr>
          <w:vertAlign w:val="superscript"/>
        </w:rPr>
        <w:t>18</w:t>
      </w:r>
      <w:r>
        <w:rPr/>
        <w:t xml:space="preserve"> The region has more Grade 1 agricultural land than any other LEP area in England, and the food chain provides 24% of jobs throughout Greater Lincolnshire compared with just 13% nationally.</w:t>
      </w:r>
      <w:r>
        <w:rPr>
          <w:vertAlign w:val="superscript"/>
        </w:rPr>
        <w:t>19</w:t>
      </w:r>
    </w:p>
    <w:p>
      <w:pPr>
        <w:pStyle w:val="Normal"/>
        <w:spacing w:lineRule="auto" w:line="300" w:before="0" w:after="200"/>
        <w:jc w:val="both"/>
        <w:rPr/>
      </w:pPr>
      <w:r>
        <w:rPr/>
        <w:t>That strength runs the full length of the county's seaboard. On the Humber, Lincolnshire is the UK centre of the seafood industry, with 65 fish processors including the largest companies in a cluster containing 6,000 jobs, rising to 10,000 with the supply chain,</w:t>
      </w:r>
      <w:r>
        <w:rPr>
          <w:vertAlign w:val="superscript"/>
        </w:rPr>
        <w:t>18</w:t>
      </w:r>
      <w:r>
        <w:rPr/>
        <w:t xml:space="preserve"> and the wider Humber region houses 120,000 hectares of agricultural land alongside ports handling 14% of UK trade.</w:t>
      </w:r>
      <w:r>
        <w:rPr>
          <w:vertAlign w:val="superscript"/>
        </w:rPr>
        <w:t>20</w:t>
      </w:r>
      <w:r>
        <w:rPr/>
        <w:t xml:space="preserve"> In the south, the area has the UK's greatest concentration of food logistics companies, with an estimated 30% of national food shipments passing through South Lincolnshire,</w:t>
      </w:r>
      <w:r>
        <w:rPr>
          <w:vertAlign w:val="superscript"/>
        </w:rPr>
        <w:t>18</w:t>
      </w:r>
      <w:r>
        <w:rPr/>
        <w:t xml:space="preserve"> while the Fens hold almost half of the best quality agricultural land in England, producing a fifth of England's crops and a third of its vegetables and supporting approximately 80,000 jobs across the food supply chain.</w:t>
      </w:r>
      <w:r>
        <w:rPr>
          <w:vertAlign w:val="superscript"/>
        </w:rPr>
        <w:t>21</w:t>
      </w:r>
      <w:r>
        <w:rPr/>
        <w:t xml:space="preserve"> Precisely the fresh vegetables in which national self-sufficiency is weakest are the crops in which Lincolnshire is strongest: the county is not merely a contributor to the national larder, it is the larder's load-bearing wall. But every hectare of this output shares a single point of failure — the county's coastal defences — and it is to that point of failure that the argument now turns.</w:t>
      </w:r>
    </w:p>
    <w:p>
      <w:pPr>
        <w:pStyle w:val="Heading2"/>
        <w:spacing w:before="320" w:after="160"/>
        <w:rPr/>
      </w:pPr>
      <w:r>
        <w:rPr>
          <w:b/>
          <w:bCs/>
          <w:color w:val="132641"/>
        </w:rPr>
        <w:t>5. The Single Point of Failure: The Lincolnshire Coast</w:t>
      </w:r>
    </w:p>
    <w:p>
      <w:pPr>
        <w:pStyle w:val="Normal"/>
        <w:spacing w:lineRule="auto" w:line="300" w:before="0" w:after="200"/>
        <w:jc w:val="both"/>
        <w:rPr/>
      </w:pPr>
      <w:r>
        <w:rPr/>
        <w:t>It is precisely this coastal productive belt — from the South Humber bank, down the East Lindsey Outmarsh, through the Lindsey Marsh to the Wash and the Fens — that sits most squarely in the path of rising seas, and every stretch of it depends on engineered defences with a finite life. The scale of the dependency is laid bare in the Environment Agency's own strategy for the open coast. Across the 38km strategy frontage between Saltfleet and Gibraltar Point, floodwater would reach up to 15km inland without sea defences, placing 20,000 residential properties, 1,700 businesses, 24,500 static caravans and 35,000 hectares of farmland at risk of flooding — and without seawalls and embankment systems, this low-lying land would flood at least 14 days every month.</w:t>
      </w:r>
      <w:r>
        <w:rPr>
          <w:vertAlign w:val="superscript"/>
        </w:rPr>
        <w:t>22,23</w:t>
      </w:r>
      <w:r>
        <w:rPr/>
        <w:t xml:space="preserve"> A large area of land behind the defences sits at or below mean high water springs sea level, and a breach would be devastating for homes, businesses and agriculture.</w:t>
      </w:r>
      <w:r>
        <w:rPr>
          <w:vertAlign w:val="superscript"/>
        </w:rPr>
        <w:t>24</w:t>
      </w:r>
    </w:p>
    <w:p>
      <w:pPr>
        <w:pStyle w:val="Normal"/>
        <w:spacing w:lineRule="auto" w:line="300" w:before="0" w:after="200"/>
        <w:jc w:val="both"/>
        <w:rPr/>
      </w:pPr>
      <w:r>
        <w:rPr/>
        <w:t>Since 1994, this coastline has been held by annual beach nourishment, with a dredger pumping approximately 400,000 cubic metres of sand onto the beaches between Mablethorpe and Skegness each year — yet the Environment Agency's own estimates suggest this method will not be sustainable in the future, given the increased volumes and frequency of nourishment that climate change would demand.</w:t>
      </w:r>
      <w:r>
        <w:rPr>
          <w:vertAlign w:val="superscript"/>
        </w:rPr>
        <w:t>24</w:t>
      </w:r>
      <w:r>
        <w:rPr/>
        <w:t xml:space="preserve"> The picture is no better at either end of the county. On the Humber, coastal walls originally built following the devastating floods of 1953 are now at increasing risk of damage from rising sea levels and more frequent storms;</w:t>
      </w:r>
      <w:r>
        <w:rPr>
          <w:vertAlign w:val="superscript"/>
        </w:rPr>
        <w:t>25</w:t>
      </w:r>
      <w:r>
        <w:rPr/>
        <w:t xml:space="preserve"> on the Wash, Boston was struck in December 2013 by the largest North Sea surge since 1953, which overtopped defences and flooded hundreds of properties, directly prompting the Boston Barrier scheme.</w:t>
      </w:r>
      <w:r>
        <w:rPr>
          <w:vertAlign w:val="superscript"/>
        </w:rPr>
        <w:t>26</w:t>
      </w:r>
      <w:r>
        <w:rPr/>
        <w:t xml:space="preserve"> Meanwhile the Fens — a third of which already lie below sea level</w:t>
      </w:r>
      <w:r>
        <w:rPr>
          <w:vertAlign w:val="superscript"/>
        </w:rPr>
        <w:t>27</w:t>
      </w:r>
      <w:r>
        <w:rPr/>
        <w:t xml:space="preserve"> — would flood from rivers and the sea without active management 365 days per year, behind a network of flood assets much of which is nearing the end of its design life.</w:t>
      </w:r>
      <w:r>
        <w:rPr>
          <w:vertAlign w:val="superscript"/>
        </w:rPr>
        <w:t>21</w:t>
      </w:r>
    </w:p>
    <w:p>
      <w:pPr>
        <w:pStyle w:val="Normal"/>
        <w:spacing w:lineRule="auto" w:line="300" w:before="0" w:after="200"/>
        <w:jc w:val="both"/>
        <w:rPr/>
      </w:pPr>
      <w:r>
        <w:rPr/>
        <w:t>History has already demonstrated what failure looks like on this coast. The tidal surge of 31 January 1953 flooded over 100,000 hectares of land and 24,000 homes between Yorkshire and the Thames, killing 307 people, with damages reaching the equivalent of £1.2 billion in today's money</w:t>
      </w:r>
      <w:r>
        <w:rPr>
          <w:vertAlign w:val="superscript"/>
        </w:rPr>
        <w:t>28</w:t>
      </w:r>
      <w:r>
        <w:rPr/>
        <w:t xml:space="preserve"> — and the Environment Agency's own assessment warns that without coastal flood risk management works on the Lincolnshire coast, loss of life could be greater than that experienced during the 1953 floods, with the predicted frequency of inundation likely to render areas uninhabitable and unsafe for any of their current uses.</w:t>
      </w:r>
      <w:r>
        <w:rPr>
          <w:vertAlign w:val="superscript"/>
        </w:rPr>
        <w:t>22</w:t>
      </w:r>
      <w:r>
        <w:rPr/>
        <w:t xml:space="preserve"> The pressure driving that risk is accelerating: by 2100, UK sea levels could rise by over a metre under high-end scenarios, and extreme “once-in-a-century” tidal events may become annual occurrences before the end of the century.</w:t>
      </w:r>
      <w:r>
        <w:rPr>
          <w:vertAlign w:val="superscript"/>
        </w:rPr>
        <w:t>29</w:t>
      </w:r>
      <w:r>
        <w:rPr/>
        <w:t xml:space="preserve"> For the county's southern breadbasket, the Fens Climate Change Risk Assessment is unambiguous: without aggressive emission reductions, a 4°C rise by 2100 will bring a profound increase in the severity and frequency of flood events, large-scale ecosystem collapse, and parts of the Fens rendered uninhabitable and unviable for businesses, including food production.</w:t>
      </w:r>
      <w:r>
        <w:rPr>
          <w:vertAlign w:val="superscript"/>
        </w:rPr>
        <w:t>30</w:t>
      </w:r>
      <w:r>
        <w:rPr/>
        <w:t xml:space="preserve"> Nor is this a loss that could be reversed when circumstances demand, as the ploughing-up campaigns of the Second World War reversed earlier neglect: land inundated by the sea is lost to salt, and Grade 1 silt does not come back on any political timescale. There will be no Dig for Victory on land the sea has taken.</w:t>
      </w:r>
    </w:p>
    <w:p>
      <w:pPr>
        <w:pStyle w:val="Heading2"/>
        <w:spacing w:before="320" w:after="160"/>
        <w:rPr/>
      </w:pPr>
      <w:r>
        <w:rPr>
          <w:b/>
          <w:bCs/>
          <w:color w:val="132641"/>
        </w:rPr>
        <w:t>6. The Compounding Pressure: Covering the Larder with Solar</w:t>
      </w:r>
    </w:p>
    <w:p>
      <w:pPr>
        <w:pStyle w:val="Normal"/>
        <w:spacing w:lineRule="auto" w:line="300" w:before="0" w:after="200"/>
        <w:jc w:val="both"/>
        <w:rPr/>
      </w:pPr>
      <w:r>
        <w:rPr/>
        <w:t>The sea is not the only force removing productive land from the national food supply, and the second is a matter of deliberate policy. To meet the Government's Clean Power 2030 target, the installed capacity of solar is planned to reach 45–57 gigawatts by 2030 — roughly two and a half times the capacity installed in early 2025 — with the Climate Change Committee estimating that 90GW will be needed by 2050.</w:t>
      </w:r>
      <w:r>
        <w:rPr>
          <w:vertAlign w:val="superscript"/>
        </w:rPr>
        <w:t>31</w:t>
      </w:r>
      <w:r>
        <w:rPr/>
        <w:t xml:space="preserve"> Nationally, the industry is right to say the footprint is modest: ground-mounted panels covered an estimated 21,200 hectares at the end of 2024, around 0.1% of the UK's total land area, rising to perhaps 0.6% under the 2050 trajectory.</w:t>
      </w:r>
      <w:r>
        <w:rPr>
          <w:vertAlign w:val="superscript"/>
        </w:rPr>
        <w:t>31,32</w:t>
      </w:r>
      <w:r>
        <w:rPr/>
        <w:t xml:space="preserve"> But national averages conceal where the panels actually go. Analysis by CPRE of England's 38 largest operational solar farms found that 59% are located on productive farmland, that almost a third (31%) of the area they cover is classified as ‘best and most versatile’ agricultural land despite planning policies designed to protect it, and that three are located entirely on the highest-grade farmland — with applications surging precisely in the arable east of England, where in one Lincolnshire district solar already covers 7% of the land.</w:t>
      </w:r>
      <w:r>
        <w:rPr>
          <w:vertAlign w:val="superscript"/>
        </w:rPr>
        <w:t>33</w:t>
      </w:r>
    </w:p>
    <w:p>
      <w:pPr>
        <w:pStyle w:val="Normal"/>
        <w:spacing w:lineRule="auto" w:line="300" w:before="0" w:after="200"/>
        <w:jc w:val="both"/>
        <w:rPr/>
      </w:pPr>
      <w:r>
        <w:rPr/>
        <w:t>Lincolnshire has become the national epicentre of this collision between energy policy and food production. A cluster of nationally significant solar projects has formed around the former power station grid connections at Cottam and West Burton: Gate Burton Energy Park alone occupies approximately 684 hectares of agricultural land, the Cottam Solar Project 1,270 hectares across its sites, and the West Burton Solar Project a further 788 hectares in West Lindsey — with residents' groups calculating that the four schemes proposed within a single six-mile radius would together cover some 13,000 acres.</w:t>
      </w:r>
      <w:r>
        <w:rPr>
          <w:vertAlign w:val="superscript"/>
        </w:rPr>
        <w:t>34,35</w:t>
      </w:r>
      <w:r>
        <w:rPr/>
        <w:t xml:space="preserve"> Lincolnshire County Council reports around 3,500 hectares consented for solar with a further 6,400 hectares proposed — approaching 10,000 hectares, or roughly 2% of the county's 490,000 hectares of farmland, if all are approved.</w:t>
      </w:r>
      <w:r>
        <w:rPr>
          <w:vertAlign w:val="superscript"/>
        </w:rPr>
        <w:t>36</w:t>
      </w:r>
      <w:r>
        <w:rPr/>
        <w:t xml:space="preserve"> Most telling of all is the reasoning by which these consents are granted: in approving the 1,270-hectare Cottam scheme — at the time the UK's largest — the Secretary of State's decision gave “little negative weight” to the loss of agricultural land.</w:t>
      </w:r>
      <w:r>
        <w:rPr>
          <w:vertAlign w:val="superscript"/>
        </w:rPr>
        <w:t>37</w:t>
      </w:r>
      <w:r>
        <w:rPr/>
        <w:t xml:space="preserve"> The same governing assumption that undervalues farmland in flood defence funding formulas thus reappears in energy consenting: farmland is treated as the residual land use, the thing other priorities are subtracted from.</w:t>
      </w:r>
    </w:p>
    <w:p>
      <w:pPr>
        <w:pStyle w:val="Normal"/>
        <w:spacing w:lineRule="auto" w:line="300" w:before="0" w:after="200"/>
        <w:jc w:val="both"/>
        <w:rPr/>
      </w:pPr>
      <w:r>
        <w:rPr/>
        <w:t>The argument of this paper is not against solar energy, and honesty demands the counter-case be stated: solar occupies a small fraction of national farmland; developers point out that panels are temporary and reversible where the sea is not, that grazing can continue beneath them, and that sites are directed towards lower-grade land where grid access allows;</w:t>
      </w:r>
      <w:r>
        <w:rPr>
          <w:vertAlign w:val="superscript"/>
        </w:rPr>
        <w:t>38</w:t>
      </w:r>
      <w:r>
        <w:rPr/>
        <w:t xml:space="preserve"> and for individual farmers facing losses exceeding £800 million from the disastrous 2024–25 harvests, solar rents offer an income lifeline that food production currently does not.</w:t>
      </w:r>
      <w:r>
        <w:rPr>
          <w:vertAlign w:val="superscript"/>
        </w:rPr>
        <w:t>38</w:t>
      </w:r>
      <w:r>
        <w:rPr/>
        <w:t xml:space="preserve"> But that last point is itself the indictment: a food system in which the most reliable crop a Lincolnshire field can yield is electricity is a food system whose incentives are broken. And the cumulative arithmetic for this county is inescapable. Lincolnshire is being asked simultaneously to surrender land to the sea where defences are not funded, and to surrender land to energy infrastructure where the grid happens to connect — while CPRE's research shows that rooftops, car parks and brownfield sites could deliver 40–50GW by 2035 without taking a single field, leading to its call for at least 60% of solar to be sited on rooftops and a ban on new solar farms on the two highest grades of farmland.</w:t>
      </w:r>
      <w:r>
        <w:rPr>
          <w:vertAlign w:val="superscript"/>
        </w:rPr>
        <w:t>33</w:t>
      </w:r>
      <w:r>
        <w:rPr/>
        <w:t xml:space="preserve"> A coherent national land use framework would site reversible energy infrastructure on low-value land and defend irreplaceable high-value land from the sea. Current policy risks doing precisely the opposite — and the county that feeds the nation is where both errors compound.</w:t>
      </w:r>
    </w:p>
    <w:p>
      <w:pPr>
        <w:pStyle w:val="Heading2"/>
        <w:spacing w:before="320" w:after="160"/>
        <w:rPr/>
      </w:pPr>
      <w:r>
        <w:rPr>
          <w:b/>
          <w:bCs/>
          <w:color w:val="132641"/>
        </w:rPr>
        <w:t>7. The Argument of This Paper</w:t>
      </w:r>
    </w:p>
    <w:p>
      <w:pPr>
        <w:pStyle w:val="Normal"/>
        <w:spacing w:lineRule="auto" w:line="300" w:before="0" w:after="200"/>
        <w:jc w:val="both"/>
        <w:rPr/>
      </w:pPr>
      <w:r>
        <w:rPr/>
        <w:t>The chain of dependency set out above is unbroken, and each link bears the weight of the last. The nation's food security cannot rest on imports, because imports fail — recent events prove it and the years 1939 to 1954 stand as the enduring national memory of it. Food security must therefore rest on domestic production. Domestic production rests, to a degree unmatched anywhere else in the country, on Lincolnshire — the county that grows a third of England's vegetables, holds more Grade 1 land than any other, processes the nation's seafood and ships nearly a third of its food. And Lincolnshire rests, along the whole of its seaboard from the Humber to the Wash, on sea defences that the responsible agency itself concedes cannot be sustained by present methods. It follows that the defence of the Lincolnshire coast is not a matter of regional flood management, to be appraised by funding formulas that count residential properties and undervalue farmland and dispersed rural communities. It is national food security policy, and it should be appraised, funded and governed as such — as strategic national infrastructure in the same class as energy security and the defence estate.</w:t>
      </w:r>
    </w:p>
    <w:p>
      <w:pPr>
        <w:pStyle w:val="Normal"/>
        <w:spacing w:lineRule="auto" w:line="300" w:before="0" w:after="200"/>
        <w:jc w:val="both"/>
        <w:rPr/>
      </w:pPr>
      <w:r>
        <w:rPr/>
        <w:t>A nation already importing 40% of its food by value cannot afford to place at hazard the county on which its remaining self-sufficiency disproportionately depends — least of all at the moment when climate disruption is making imports more expensive and less reliable, and when history has shown that productive capacity, once lost, takes decades to rebuild and inundated land cannot be rebuilt at all. This paper therefore examines four interlocking questions: why import dependence must be reversed rather than managed; why the whole Lincolnshire coast — Humber bank, Outmarsh and Fen alike — must be treated as nationally strategic infrastructure, with flood defence investment appraised on that basis; how a coherent land use framework should reconcile the nation's energy ambitions with its food security, rather than allowing solar consenting to compound the loss of productive land; and what the consequences will be, for food prices, national resilience and the communities of the East Coast, if substantial areas of productive land are surrendered to the sea. Sea levels will continue to rise for decades and centuries regardless of mitigation efforts — the window of opportunity to establish a resilient and adaptive future is now,</w:t>
      </w:r>
      <w:r>
        <w:rPr>
          <w:vertAlign w:val="superscript"/>
        </w:rPr>
        <w:t>30</w:t>
      </w:r>
      <w:r>
        <w:rPr/>
        <w:t xml:space="preserve"> and it will not stay open. To defend the Lincolnshire coast is to defend the nation's dinner table. That is the argument of this paper.</w:t>
      </w:r>
      <w:r>
        <w:br w:type="page"/>
      </w:r>
    </w:p>
    <w:p>
      <w:pPr>
        <w:pStyle w:val="Heading2"/>
        <w:spacing w:before="400" w:after="160"/>
        <w:rPr/>
      </w:pPr>
      <w:r>
        <w:rPr>
          <w:b/>
          <w:bCs/>
          <w:color w:val="132641"/>
        </w:rPr>
        <w:t>Consultation Questions</w:t>
      </w:r>
    </w:p>
    <w:p>
      <w:pPr>
        <w:pStyle w:val="Normal"/>
        <w:spacing w:lineRule="auto" w:line="300" w:before="0" w:after="200"/>
        <w:jc w:val="both"/>
        <w:rPr/>
      </w:pPr>
      <w:r>
        <w:rPr/>
        <w:t>Respondents are invited to consider the following eleven questions, which follow the structure of the argument set out in this introduction. Each question is accompanied by a short summary of the relevant evidence. Please answer in the text box provided beneath each question; responses may be as brief or as full as you wish.</w:t>
      </w:r>
    </w:p>
    <w:p>
      <w:pPr>
        <w:pStyle w:val="Normal"/>
        <w:spacing w:before="240" w:after="80"/>
        <w:rPr/>
      </w:pPr>
      <w:r>
        <w:rPr>
          <w:b/>
          <w:bCs/>
          <w:color w:val="132641"/>
        </w:rPr>
        <w:t>Question 1: Britain's shrinking self-sufficiency.</w:t>
      </w:r>
    </w:p>
    <w:p>
      <w:pPr>
        <w:pStyle w:val="Normal"/>
        <w:spacing w:lineRule="auto" w:line="300" w:before="0" w:after="200"/>
        <w:jc w:val="both"/>
        <w:rPr/>
      </w:pPr>
      <w:r>
        <w:rPr/>
        <w:t>The UK now produces just 60% of its food by value, down from over 80% in the 1980s, and the figure fell again last year. The food trade gap has widened to £42.1 billion. Some argue this does not matter so long as trading relationships remain stable; others argue it is a strategic vulnerability no serious nation would tolerate in energy or defence.</w:t>
      </w:r>
    </w:p>
    <w:p>
      <w:pPr>
        <w:pStyle w:val="Normal"/>
        <w:spacing w:lineRule="auto" w:line="300" w:before="0" w:after="120"/>
        <w:jc w:val="both"/>
        <w:rPr/>
      </w:pPr>
      <w:r>
        <w:rPr>
          <w:b/>
          <w:bCs/>
          <w:i/>
          <w:iCs/>
        </w:rPr>
        <w:t>Do you believe the UK should set a legally binding minimum level of food self-sufficiency — and if so, what should happen when we fall below it?</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2: Food from volatile places.</w:t>
      </w:r>
    </w:p>
    <w:p>
      <w:pPr>
        <w:pStyle w:val="Normal"/>
        <w:spacing w:lineRule="auto" w:line="300" w:before="0" w:after="200"/>
        <w:jc w:val="both"/>
        <w:rPr/>
      </w:pPr>
      <w:r>
        <w:rPr/>
        <w:t>A third of the UK's imported food now comes from countries facing significant climate risk, and recent years have seen export bans imposed by sixteen countries, war in Ukraine disrupting grain and cooking oil, and attacks on shipping forcing 4,000-mile diversions around Africa. When producer nations feel threatened, they feed their own people first.</w:t>
      </w:r>
    </w:p>
    <w:p>
      <w:pPr>
        <w:pStyle w:val="Normal"/>
        <w:spacing w:lineRule="auto" w:line="300" w:before="0" w:after="120"/>
        <w:jc w:val="both"/>
        <w:rPr/>
      </w:pPr>
      <w:r>
        <w:rPr>
          <w:b/>
          <w:bCs/>
          <w:i/>
          <w:iCs/>
        </w:rPr>
        <w:t>How much should the origin of our food — and the stability of the countries and shipping routes it depends on — influence government policy, even if home-grown food costs more?</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3: Rationing has already returned.</w:t>
      </w:r>
    </w:p>
    <w:p>
      <w:pPr>
        <w:pStyle w:val="Normal"/>
        <w:spacing w:lineRule="auto" w:line="300" w:before="0" w:after="200"/>
        <w:jc w:val="both"/>
        <w:rPr/>
      </w:pPr>
      <w:r>
        <w:rPr/>
        <w:t>In February 2023, poor weather in Spain and Morocco left major UK supermarkets limiting how many tomatoes, cucumbers and peppers each customer could buy. This was rationing imposed not by government but by weather two thousand miles away, in a country that grows only around 17% of its own tomatoes.</w:t>
      </w:r>
    </w:p>
    <w:p>
      <w:pPr>
        <w:pStyle w:val="Normal"/>
        <w:spacing w:lineRule="auto" w:line="300" w:before="0" w:after="120"/>
        <w:jc w:val="both"/>
        <w:rPr/>
      </w:pPr>
      <w:r>
        <w:rPr>
          <w:b/>
          <w:bCs/>
          <w:i/>
          <w:iCs/>
        </w:rPr>
        <w:t>What did shortages like these mean for you or your household — and how do you think the country should respond if they became longer and more frequent?</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4: The lesson of 1939–1954.</w:t>
      </w:r>
    </w:p>
    <w:p>
      <w:pPr>
        <w:pStyle w:val="Normal"/>
        <w:spacing w:lineRule="auto" w:line="300" w:before="0" w:after="200"/>
        <w:jc w:val="both"/>
        <w:rPr/>
      </w:pPr>
      <w:r>
        <w:rPr/>
        <w:t>Before the Second World War, Britain grew only around 30% of what it ate. The U-boat blockade halved food imports, rationing began in 1940 — and it did not end with victory. A bankrupt Britain could not afford to restore imports, bread was rationed for the first time in 1946, and coupons only disappeared in 1954, nine years after the war was won.</w:t>
      </w:r>
    </w:p>
    <w:p>
      <w:pPr>
        <w:pStyle w:val="Normal"/>
        <w:spacing w:lineRule="auto" w:line="300" w:before="0" w:after="120"/>
        <w:jc w:val="both"/>
        <w:rPr/>
      </w:pPr>
      <w:r>
        <w:rPr>
          <w:b/>
          <w:bCs/>
          <w:i/>
          <w:iCs/>
        </w:rPr>
        <w:t>What lessons, if any, should today's policymakers draw from the last time Britain could not import enough food?</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5: Lincolnshire's place in the national larder.</w:t>
      </w:r>
    </w:p>
    <w:p>
      <w:pPr>
        <w:pStyle w:val="Normal"/>
        <w:spacing w:lineRule="auto" w:line="300" w:before="0" w:after="200"/>
        <w:jc w:val="both"/>
        <w:rPr/>
      </w:pPr>
      <w:r>
        <w:rPr/>
        <w:t>Greater Lincolnshire grows 30% of England's vegetables, holds more Grade 1 farmland than any other area in England, and an estimated 30% of national food shipments pass through the south of the county. Yet few outside the county — including in Westminster — seem aware of how much of the nation's food depends on this one place.</w:t>
      </w:r>
    </w:p>
    <w:p>
      <w:pPr>
        <w:pStyle w:val="Normal"/>
        <w:spacing w:lineRule="auto" w:line="300" w:before="0" w:after="120"/>
        <w:jc w:val="both"/>
        <w:rPr/>
      </w:pPr>
      <w:r>
        <w:rPr>
          <w:b/>
          <w:bCs/>
          <w:i/>
          <w:iCs/>
        </w:rPr>
        <w:t>Do you think Lincolnshire's contribution to feeding the country is properly recognised and valued nationally — and what would proper recognition look like in practice?</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6: How we value farmland when defences are funded.</w:t>
      </w:r>
    </w:p>
    <w:p>
      <w:pPr>
        <w:pStyle w:val="Normal"/>
        <w:spacing w:lineRule="auto" w:line="300" w:before="0" w:after="200"/>
        <w:jc w:val="both"/>
        <w:rPr/>
      </w:pPr>
      <w:r>
        <w:rPr/>
        <w:t>Current flood defence funding formulas are weighted heavily towards the number of homes protected, which systematically disadvantages sparsely populated agricultural coastlines. A defence protecting 35,000 hectares of the nation's best farmland can score lower than one protecting a modest housing estate.</w:t>
      </w:r>
    </w:p>
    <w:p>
      <w:pPr>
        <w:pStyle w:val="Normal"/>
        <w:spacing w:lineRule="auto" w:line="300" w:before="0" w:after="120"/>
        <w:jc w:val="both"/>
        <w:rPr/>
      </w:pPr>
      <w:r>
        <w:rPr>
          <w:b/>
          <w:bCs/>
          <w:i/>
          <w:iCs/>
        </w:rPr>
        <w:t>Should the value of agricultural land to national food security be given greater weight when deciding which flood defences get funded — and how would you weigh farmland against homes?</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7: Holding the line with sand.</w:t>
      </w:r>
    </w:p>
    <w:p>
      <w:pPr>
        <w:pStyle w:val="Normal"/>
        <w:spacing w:lineRule="auto" w:line="300" w:before="0" w:after="200"/>
        <w:jc w:val="both"/>
        <w:rPr/>
      </w:pPr>
      <w:r>
        <w:rPr/>
        <w:t>Since 1994, the coast between Mablethorpe and Skegness has been protected by pumping roughly 400,000 cubic metres of sand onto the beaches every year — yet the Environment Agency itself concedes this approach will not be sustainable as seas rise and storms intensify.</w:t>
      </w:r>
    </w:p>
    <w:p>
      <w:pPr>
        <w:pStyle w:val="Normal"/>
        <w:spacing w:lineRule="auto" w:line="300" w:before="0" w:after="120"/>
        <w:jc w:val="both"/>
        <w:rPr/>
      </w:pPr>
      <w:r>
        <w:rPr>
          <w:b/>
          <w:bCs/>
          <w:i/>
          <w:iCs/>
        </w:rPr>
        <w:t>If annual beach nourishment cannot continue indefinitely, what long-term approach to defending the Lincolnshire coast would you support, and what should the government be doing now to prepare?</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8: Living behind the defences.</w:t>
      </w:r>
    </w:p>
    <w:p>
      <w:pPr>
        <w:pStyle w:val="Normal"/>
        <w:spacing w:lineRule="auto" w:line="300" w:before="0" w:after="200"/>
        <w:jc w:val="both"/>
        <w:rPr/>
      </w:pPr>
      <w:r>
        <w:rPr/>
        <w:t>Without its sea defences, the land between Saltfleet and Gibraltar Point would flood at least 14 days every month, with water reaching up to 15km inland — putting 20,000 homes, 1,700 businesses, 24,500 static caravans and 35,000 hectares of farmland at risk. The 1953 surge killed 307 people on the east coast, and the Environment Agency warns an undefended repeat could be worse.</w:t>
      </w:r>
    </w:p>
    <w:p>
      <w:pPr>
        <w:pStyle w:val="Normal"/>
        <w:spacing w:lineRule="auto" w:line="300" w:before="0" w:after="120"/>
        <w:jc w:val="both"/>
        <w:rPr/>
      </w:pPr>
      <w:r>
        <w:rPr>
          <w:b/>
          <w:bCs/>
          <w:i/>
          <w:iCs/>
        </w:rPr>
        <w:t>How aware and prepared do you feel your own community is for coastal flood risk — and what would help residents and businesses feel more secure?</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9: Land the sea takes doesn't come back.</w:t>
      </w:r>
    </w:p>
    <w:p>
      <w:pPr>
        <w:pStyle w:val="Normal"/>
        <w:spacing w:lineRule="auto" w:line="300" w:before="0" w:after="200"/>
        <w:jc w:val="both"/>
        <w:rPr/>
      </w:pPr>
      <w:r>
        <w:rPr/>
        <w:t>In wartime, Britain ploughed up 10,000 square miles of extra land to feed itself. But farmland inundated by the sea is lost to salt, and Grade 1 silt cannot be recovered on any political timescale — there can be no Dig for Victory on land the sea has taken. Some coastal policies nonetheless propose “managed realignment”: deliberately surrendering certain areas to the sea.</w:t>
      </w:r>
    </w:p>
    <w:p>
      <w:pPr>
        <w:pStyle w:val="Normal"/>
        <w:spacing w:lineRule="auto" w:line="300" w:before="0" w:after="120"/>
        <w:jc w:val="both"/>
        <w:rPr/>
      </w:pPr>
      <w:r>
        <w:rPr>
          <w:b/>
          <w:bCs/>
          <w:i/>
          <w:iCs/>
        </w:rPr>
        <w:t>Under what circumstances, if any, would you accept productive farmland being deliberately given up to the sea — and who should have the final say?</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10: Solar panels and the national larder.</w:t>
      </w:r>
    </w:p>
    <w:p>
      <w:pPr>
        <w:pStyle w:val="Normal"/>
        <w:spacing w:lineRule="auto" w:line="300" w:before="0" w:after="200"/>
        <w:jc w:val="both"/>
        <w:rPr/>
      </w:pPr>
      <w:r>
        <w:rPr/>
        <w:t>Lincolnshire has become the national epicentre of large-scale solar development, with around 3,500 hectares of farmland already consented and a further 6,400 hectares proposed — including a cluster of schemes covering some 13,000 acres within a single six-mile radius. Nationally, 59% of the largest solar farms sit on productive farmland, and in approving the largest scheme of all, the Government gave “little negative weight” to the loss of agricultural land — while research suggests rooftops, car parks and brownfield sites could meet solar targets without taking a single field.</w:t>
      </w:r>
    </w:p>
    <w:p>
      <w:pPr>
        <w:pStyle w:val="Normal"/>
        <w:spacing w:lineRule="auto" w:line="300" w:before="0" w:after="120"/>
        <w:jc w:val="both"/>
        <w:rPr/>
      </w:pPr>
      <w:r>
        <w:rPr>
          <w:b/>
          <w:bCs/>
          <w:i/>
          <w:iCs/>
        </w:rPr>
        <w:t>Where should the solar panels the country needs actually go — and should the highest grades of farmland be off-limits to solar development altogether?</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p>
    <w:p>
      <w:pPr>
        <w:pStyle w:val="Normal"/>
        <w:spacing w:before="240" w:after="80"/>
        <w:rPr/>
      </w:pPr>
      <w:r>
        <w:rPr>
          <w:b/>
          <w:bCs/>
          <w:color w:val="132641"/>
        </w:rPr>
        <w:t>Question 11: Who should pay to defend the nation's dinner table?</w:t>
      </w:r>
    </w:p>
    <w:p>
      <w:pPr>
        <w:pStyle w:val="Normal"/>
        <w:spacing w:lineRule="auto" w:line="300" w:before="0" w:after="200"/>
        <w:jc w:val="both"/>
        <w:rPr/>
      </w:pPr>
      <w:r>
        <w:rPr/>
        <w:t>This paper argues that because national food security depends on domestic production, domestic production depends on Lincolnshire, and Lincolnshire depends on its sea defences, defending this coast is national infrastructure — comparable to energy security — rather than a local flood matter competing for regional budgets.</w:t>
      </w:r>
    </w:p>
    <w:p>
      <w:pPr>
        <w:pStyle w:val="Normal"/>
        <w:spacing w:lineRule="auto" w:line="300" w:before="0" w:after="120"/>
        <w:jc w:val="both"/>
        <w:rPr/>
      </w:pPr>
      <w:r>
        <w:rPr>
          <w:b/>
          <w:bCs/>
          <w:i/>
          <w:iCs/>
        </w:rPr>
        <w:t>Do you agree that defending the Lincolnshire coast should be funded and governed as strategic national infrastructure — and if so, how should the cost be shared between national government, local authorities and those directly protected?</w:t>
      </w:r>
    </w:p>
    <w:p>
      <w:pPr>
        <w:pStyle w:val="Normal"/>
        <w:spacing w:before="0" w:after="40"/>
        <w:rPr/>
      </w:pPr>
      <w:r>
        <w:rPr>
          <w:i/>
          <w:iCs/>
          <w:color w:val="666666"/>
          <w:sz w:val="18"/>
          <w:szCs w:val="18"/>
        </w:rPr>
        <w:t>Your response:</w:t>
      </w:r>
    </w:p>
    <w:p>
      <w:pPr>
        <w:pStyle w:val="Normal"/>
        <w:pBdr>
          <w:top w:val="single" w:sz="4" w:space="0" w:color="999999"/>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right w:val="single" w:sz="4" w:space="0" w:color="999999"/>
        </w:pBdr>
        <w:spacing w:lineRule="auto" w:line="300"/>
        <w:rPr/>
      </w:pPr>
      <w:r>
        <w:rPr/>
      </w:r>
    </w:p>
    <w:p>
      <w:pPr>
        <w:pStyle w:val="Normal"/>
        <w:pBdr>
          <w:left w:val="single" w:sz="4" w:space="0" w:color="999999"/>
          <w:bottom w:val="single" w:sz="4" w:space="0" w:color="999999"/>
          <w:right w:val="single" w:sz="4" w:space="0" w:color="999999"/>
        </w:pBdr>
        <w:spacing w:lineRule="auto" w:line="300" w:before="0" w:after="160"/>
        <w:rPr/>
      </w:pPr>
      <w:r>
        <w:rPr/>
      </w:r>
      <w:r>
        <w:br w:type="page"/>
      </w:r>
    </w:p>
    <w:p>
      <w:pPr>
        <w:pStyle w:val="Heading2"/>
        <w:spacing w:before="400" w:after="160"/>
        <w:rPr/>
      </w:pPr>
      <w:r>
        <w:rPr>
          <w:b/>
          <w:bCs/>
          <w:color w:val="132641"/>
        </w:rPr>
        <w:t>References</w:t>
      </w:r>
    </w:p>
    <w:p>
      <w:pPr>
        <w:pStyle w:val="Normal"/>
        <w:spacing w:before="0" w:after="80"/>
        <w:ind w:left="360" w:hanging="360"/>
        <w:rPr/>
      </w:pPr>
      <w:r>
        <w:rPr>
          <w:sz w:val="18"/>
          <w:szCs w:val="18"/>
        </w:rPr>
        <w:t>1. Defra, Agriculture in the United Kingdom 2025, Chapter 14: The Food Chain, GOV.UK, July 2026. https://www.gov.uk/government/statistics/agriculture-in-the-united-kingdom-2025/chapter-14-the-food-chain</w:t>
      </w:r>
    </w:p>
    <w:p>
      <w:pPr>
        <w:pStyle w:val="Normal"/>
        <w:spacing w:before="0" w:after="80"/>
        <w:ind w:left="360" w:hanging="360"/>
        <w:rPr/>
      </w:pPr>
      <w:r>
        <w:rPr>
          <w:sz w:val="18"/>
          <w:szCs w:val="18"/>
        </w:rPr>
        <w:t>2. FarmingUK, “Climate impacts blamed as UK food self-sufficiency drops to 60%”, July 2026, reporting Defra Agriculture in the UK 2025 and Energy and Climate Intelligence Unit (ECIU) analysis. https://www.farminguk.com/news/climate-impacts-blamed-as-uk-food-self-sufficiency-drops-to-60-_68792.html</w:t>
      </w:r>
    </w:p>
    <w:p>
      <w:pPr>
        <w:pStyle w:val="Normal"/>
        <w:spacing w:before="0" w:after="80"/>
        <w:ind w:left="360" w:hanging="360"/>
        <w:rPr/>
      </w:pPr>
      <w:r>
        <w:rPr>
          <w:sz w:val="18"/>
          <w:szCs w:val="18"/>
        </w:rPr>
        <w:t>3. House of Commons, UK Food Shortages, Hansard, HC Deb 23 February 2023 (statement of the Secretary of State for Environment, Food and Rural Affairs). https://hansard.parliament.uk/Commons/2023-02-23/debates/0814D2CD-836D-4906-BC69-F0F28C047C50/UKFoodShortages</w:t>
      </w:r>
    </w:p>
    <w:p>
      <w:pPr>
        <w:pStyle w:val="Normal"/>
        <w:spacing w:before="0" w:after="80"/>
        <w:ind w:left="360" w:hanging="360"/>
        <w:rPr/>
      </w:pPr>
      <w:r>
        <w:rPr>
          <w:sz w:val="18"/>
          <w:szCs w:val="18"/>
        </w:rPr>
        <w:t>4. Global Food Security programme (UKRI), “UK Threat”. https://www.foodsecurity.ac.uk/challenge/uk-threat/</w:t>
      </w:r>
    </w:p>
    <w:p>
      <w:pPr>
        <w:pStyle w:val="Normal"/>
        <w:spacing w:before="0" w:after="80"/>
        <w:ind w:left="360" w:hanging="360"/>
        <w:rPr/>
      </w:pPr>
      <w:r>
        <w:rPr>
          <w:sz w:val="18"/>
          <w:szCs w:val="18"/>
        </w:rPr>
        <w:t>5. Rt Hon Rishi Sunak MP, statement to the NFU Conference, February 2024, as reported in UK food self-sufficiency analyses.</w:t>
      </w:r>
    </w:p>
    <w:p>
      <w:pPr>
        <w:pStyle w:val="Normal"/>
        <w:spacing w:before="0" w:after="80"/>
        <w:ind w:left="360" w:hanging="360"/>
        <w:rPr/>
      </w:pPr>
      <w:r>
        <w:rPr>
          <w:sz w:val="18"/>
          <w:szCs w:val="18"/>
        </w:rPr>
        <w:t>6. PBS News / Associated Press, “Global food prices rise after Russia ends Ukraine grain deal and India restricts rice exports”, August 2023, reporting UN FAO Food Price Index data. https://www.pbs.org/newshour/economy/global-food-prices-rise-after-russia-ends-ukraine-grain-deal-and-india-restricts-rice-exports</w:t>
      </w:r>
    </w:p>
    <w:p>
      <w:pPr>
        <w:pStyle w:val="Normal"/>
        <w:spacing w:before="0" w:after="80"/>
        <w:ind w:left="360" w:hanging="360"/>
        <w:rPr/>
      </w:pPr>
      <w:r>
        <w:rPr>
          <w:sz w:val="18"/>
          <w:szCs w:val="18"/>
        </w:rPr>
        <w:t>7. UN Food and Agriculture Organization, Food Price Index, July 2023 (vegetable oil sub-index; sunflower oil surge following termination of the Black Sea Grain Initiative), as reported ibid.</w:t>
      </w:r>
    </w:p>
    <w:p>
      <w:pPr>
        <w:pStyle w:val="Normal"/>
        <w:spacing w:before="0" w:after="80"/>
        <w:ind w:left="360" w:hanging="360"/>
        <w:rPr/>
      </w:pPr>
      <w:r>
        <w:rPr>
          <w:sz w:val="18"/>
          <w:szCs w:val="18"/>
        </w:rPr>
        <w:t>8. Institute of Food Science and Technology, “The Fragile Link: Supply Chain Disruptions and Global Food Security”, Food Science and Technology, 2024. https://ifst.onlinelibrary.wiley.com/doi/10.1002/fsat.3803_9.x</w:t>
      </w:r>
    </w:p>
    <w:p>
      <w:pPr>
        <w:pStyle w:val="Normal"/>
        <w:spacing w:before="0" w:after="80"/>
        <w:ind w:left="360" w:hanging="360"/>
        <w:rPr/>
      </w:pPr>
      <w:r>
        <w:rPr>
          <w:sz w:val="18"/>
          <w:szCs w:val="18"/>
        </w:rPr>
        <w:t>9. Foods Connected, “Red Sea supply chain disruptions: how they affect the food industry”, 2024. https://blog.foodsconnected.com/red-sea-supply-chain-disruptions-affecting-food-supply-chain</w:t>
      </w:r>
    </w:p>
    <w:p>
      <w:pPr>
        <w:pStyle w:val="Normal"/>
        <w:spacing w:before="0" w:after="80"/>
        <w:ind w:left="360" w:hanging="360"/>
        <w:rPr/>
      </w:pPr>
      <w:r>
        <w:rPr>
          <w:sz w:val="18"/>
          <w:szCs w:val="18"/>
        </w:rPr>
        <w:t>10. “2022–2023 global food crises”, documentation of February 2023 UK supermarket purchase restrictions (Tesco, Asda, Morrisons, Aldi). https://en.wikipedia.org/wiki/World_food_crises_(2022%E2%80%93present)</w:t>
      </w:r>
    </w:p>
    <w:p>
      <w:pPr>
        <w:pStyle w:val="Normal"/>
        <w:spacing w:before="0" w:after="80"/>
        <w:ind w:left="360" w:hanging="360"/>
        <w:rPr/>
      </w:pPr>
      <w:r>
        <w:rPr>
          <w:sz w:val="18"/>
          <w:szCs w:val="18"/>
        </w:rPr>
        <w:t>11. UK food self-sufficiency statistical compilation citing Defra UK Food Security Report data on climate exposure of import sources, 2026. https://level3foodhygienecertificate.org.uk/blog/food-self-sufficiency-statistics</w:t>
      </w:r>
    </w:p>
    <w:p>
      <w:pPr>
        <w:pStyle w:val="Normal"/>
        <w:spacing w:before="0" w:after="80"/>
        <w:ind w:left="360" w:hanging="360"/>
        <w:rPr/>
      </w:pPr>
      <w:r>
        <w:rPr>
          <w:sz w:val="18"/>
          <w:szCs w:val="18"/>
        </w:rPr>
        <w:t>12. National Geographic, “The radical wartime diet that saved Britain in World War II”, December 2025. https://www.nationalgeographic.com/history/article/wartime-diet-britain-world-war-jack-drummond</w:t>
      </w:r>
    </w:p>
    <w:p>
      <w:pPr>
        <w:pStyle w:val="Normal"/>
        <w:spacing w:before="0" w:after="80"/>
        <w:ind w:left="360" w:hanging="360"/>
        <w:rPr/>
      </w:pPr>
      <w:r>
        <w:rPr>
          <w:sz w:val="18"/>
          <w:szCs w:val="18"/>
        </w:rPr>
        <w:t>13. Findmypast, “‘A fair share for all’: rationing in wartime Britain”, 1939 Register. https://www.findmypast.com/1939register/rationing-in-britain-ww2</w:t>
      </w:r>
    </w:p>
    <w:p>
      <w:pPr>
        <w:pStyle w:val="Normal"/>
        <w:spacing w:before="0" w:after="80"/>
        <w:ind w:left="360" w:hanging="360"/>
        <w:rPr/>
      </w:pPr>
      <w:r>
        <w:rPr>
          <w:sz w:val="18"/>
          <w:szCs w:val="18"/>
        </w:rPr>
        <w:t>14. “Feeding Britain in the Second World War”, with sources including Collingham, The Taste of War, and Short, Watkins &amp; Martin, The Front Line of Freedom. https://en.wikipedia.org/wiki/Feeding_Britain_in_the_Second_World_War</w:t>
      </w:r>
    </w:p>
    <w:p>
      <w:pPr>
        <w:pStyle w:val="Normal"/>
        <w:spacing w:before="0" w:after="80"/>
        <w:ind w:left="360" w:hanging="360"/>
        <w:rPr/>
      </w:pPr>
      <w:r>
        <w:rPr>
          <w:sz w:val="18"/>
          <w:szCs w:val="18"/>
        </w:rPr>
        <w:t>15. “Rationing in the United Kingdom”, with sources including Zweiniger-Bargielowska, Austerity in Britain: Rationing, Controls &amp; Consumption, 1939–1955 (OUP, 2000). https://en.wikipedia.org/wiki/Rationing_in_the_United_Kingdom</w:t>
      </w:r>
    </w:p>
    <w:p>
      <w:pPr>
        <w:pStyle w:val="Normal"/>
        <w:spacing w:before="0" w:after="80"/>
        <w:ind w:left="360" w:hanging="360"/>
        <w:rPr/>
      </w:pPr>
      <w:r>
        <w:rPr>
          <w:sz w:val="18"/>
          <w:szCs w:val="18"/>
        </w:rPr>
        <w:t>16. Rapid Transition Alliance, “When everything changed: the US &amp; UK economies in World War II”, 2019. https://rapidtransition.org/stories/when-everything-changed-the-us-uk-economies-in-world-war-ii/</w:t>
      </w:r>
    </w:p>
    <w:p>
      <w:pPr>
        <w:pStyle w:val="Normal"/>
        <w:spacing w:before="0" w:after="80"/>
        <w:ind w:left="360" w:hanging="360"/>
        <w:rPr/>
      </w:pPr>
      <w:r>
        <w:rPr>
          <w:sz w:val="18"/>
          <w:szCs w:val="18"/>
        </w:rPr>
        <w:t>17. Dig for Victory (dig-for-victory.org.uk), “The Home Front in WW2” — on post-war continuation of rationing, bread rationing from 1946, and final abolition in 1954. https://dig-for-victory.org.uk/</w:t>
      </w:r>
    </w:p>
    <w:p>
      <w:pPr>
        <w:pStyle w:val="Normal"/>
        <w:spacing w:before="0" w:after="80"/>
        <w:ind w:left="360" w:hanging="360"/>
        <w:rPr/>
      </w:pPr>
      <w:r>
        <w:rPr>
          <w:sz w:val="18"/>
          <w:szCs w:val="18"/>
        </w:rPr>
        <w:t>18. Greater Lincolnshire LEP, written evidence to the EFRA Select Committee inquiry on Labour Shortages in the Food and Farming Sector, 2021 (citing DEFRA, Structure of the Agricultural Industry in England and the UK, 2018). https://committees.parliament.uk/writtenevidence/40058/html/</w:t>
      </w:r>
    </w:p>
    <w:p>
      <w:pPr>
        <w:pStyle w:val="Normal"/>
        <w:spacing w:before="0" w:after="80"/>
        <w:ind w:left="360" w:hanging="360"/>
        <w:rPr/>
      </w:pPr>
      <w:r>
        <w:rPr>
          <w:sz w:val="18"/>
          <w:szCs w:val="18"/>
        </w:rPr>
        <w:t>19. Greater Lincolnshire LEP, “Agri-food Sector”. https://www.greaterlincolnshirelep.co.uk/priorities-and-plans/sectors/agri-food-sector/</w:t>
      </w:r>
    </w:p>
    <w:p>
      <w:pPr>
        <w:pStyle w:val="Normal"/>
        <w:spacing w:before="0" w:after="80"/>
        <w:ind w:left="360" w:hanging="360"/>
        <w:rPr/>
      </w:pPr>
      <w:r>
        <w:rPr>
          <w:sz w:val="18"/>
          <w:szCs w:val="18"/>
        </w:rPr>
        <w:t>20. University of Hull / Risky Cities, “Humber Histories and Futures: Helping to inform flood risk management in the Humber estuary”, 2021. https://riskycities.hull.ac.uk/humber-histories-and-futures-two/</w:t>
      </w:r>
    </w:p>
    <w:p>
      <w:pPr>
        <w:pStyle w:val="Normal"/>
        <w:spacing w:before="0" w:after="80"/>
        <w:ind w:left="360" w:hanging="360"/>
        <w:rPr/>
      </w:pPr>
      <w:r>
        <w:rPr>
          <w:sz w:val="18"/>
          <w:szCs w:val="18"/>
        </w:rPr>
        <w:t>21. Environment Agency, Fens 2100+: Summary Baseline Report, GOV.UK, 2026. https://www.gov.uk/government/publications/fens-2100/fens-2100-summary-baseline-report</w:t>
      </w:r>
    </w:p>
    <w:p>
      <w:pPr>
        <w:pStyle w:val="Normal"/>
        <w:spacing w:before="0" w:after="80"/>
        <w:ind w:left="360" w:hanging="360"/>
        <w:rPr/>
      </w:pPr>
      <w:r>
        <w:rPr>
          <w:sz w:val="18"/>
          <w:szCs w:val="18"/>
        </w:rPr>
        <w:t>22. Environment Agency, Saltfleet to Gibraltar Point Strategy, May 2020. https://consult.environment-agency.gov.uk/lincolnshire-and-northamptonshire/sgp-lbm/</w:t>
      </w:r>
    </w:p>
    <w:p>
      <w:pPr>
        <w:pStyle w:val="Normal"/>
        <w:spacing w:before="0" w:after="80"/>
        <w:ind w:left="360" w:hanging="360"/>
        <w:rPr/>
      </w:pPr>
      <w:r>
        <w:rPr>
          <w:sz w:val="18"/>
          <w:szCs w:val="18"/>
        </w:rPr>
        <w:t>23. Environment Agency, Saltfleet to Gibraltar Point Strategy: Non-Technical Summary, 2020. Via Lincolnshire County Council committee papers.</w:t>
      </w:r>
    </w:p>
    <w:p>
      <w:pPr>
        <w:pStyle w:val="Normal"/>
        <w:spacing w:before="0" w:after="80"/>
        <w:ind w:left="360" w:hanging="360"/>
        <w:rPr/>
      </w:pPr>
      <w:r>
        <w:rPr>
          <w:sz w:val="18"/>
          <w:szCs w:val="18"/>
        </w:rPr>
        <w:t>24. Environment Agency, Saltfleet to Gibraltar Point Strategy — beach management programme information (Engage Environment Agency), 2025. https://engageenvironmentagency.uk.engagementhq.com/saltfleet-to-gibraltar-point-strategy</w:t>
      </w:r>
    </w:p>
    <w:p>
      <w:pPr>
        <w:pStyle w:val="Normal"/>
        <w:spacing w:before="0" w:after="80"/>
        <w:ind w:left="360" w:hanging="360"/>
        <w:rPr/>
      </w:pPr>
      <w:r>
        <w:rPr>
          <w:sz w:val="18"/>
          <w:szCs w:val="18"/>
        </w:rPr>
        <w:t>25. Environment Agency, “Humber flood defences: £29m upgrade begins at Stallingborough”, GOV.UK, August 2023. https://www.gov.uk/government/news/humber-flood-defences-29m-upgrade-begins-at-stallingborough</w:t>
      </w:r>
    </w:p>
    <w:p>
      <w:pPr>
        <w:pStyle w:val="Normal"/>
        <w:spacing w:before="0" w:after="80"/>
        <w:ind w:left="360" w:hanging="360"/>
        <w:rPr/>
      </w:pPr>
      <w:r>
        <w:rPr>
          <w:sz w:val="18"/>
          <w:szCs w:val="18"/>
        </w:rPr>
        <w:t>26. Unda Consulting, “Flood Risk Assessment in Lincolnshire” (documenting the December 2013 North Sea surge at Boston and the Boston Barrier scheme), 2026. https://www.unda.co.uk/flood-risk-assessments/areas/lincolnshire/</w:t>
      </w:r>
    </w:p>
    <w:p>
      <w:pPr>
        <w:pStyle w:val="Normal"/>
        <w:spacing w:before="0" w:after="80"/>
        <w:ind w:left="360" w:hanging="360"/>
        <w:rPr/>
      </w:pPr>
      <w:r>
        <w:rPr>
          <w:sz w:val="18"/>
          <w:szCs w:val="18"/>
        </w:rPr>
        <w:t>27. Environment Agency, “Future Fens flood risk management”, GOV.UK, 2021. https://www.gov.uk/government/news/future-fens-flood-risk-management</w:t>
      </w:r>
    </w:p>
    <w:p>
      <w:pPr>
        <w:pStyle w:val="Normal"/>
        <w:spacing w:before="0" w:after="80"/>
        <w:ind w:left="360" w:hanging="360"/>
        <w:rPr/>
      </w:pPr>
      <w:r>
        <w:rPr>
          <w:sz w:val="18"/>
          <w:szCs w:val="18"/>
        </w:rPr>
        <w:t>28. Environment Agency, Humber 2100+: Understanding Tidal Risk, GOV.UK, 2026. https://www.gov.uk/government/publications/humber-2100-understanding-tidal-risk</w:t>
      </w:r>
    </w:p>
    <w:p>
      <w:pPr>
        <w:pStyle w:val="Normal"/>
        <w:spacing w:before="0" w:after="80"/>
        <w:ind w:left="360" w:hanging="360"/>
        <w:rPr/>
      </w:pPr>
      <w:r>
        <w:rPr>
          <w:sz w:val="18"/>
          <w:szCs w:val="18"/>
        </w:rPr>
        <w:t>29. Climate Scorecard, “UK: Sea Level Rise”, January 2026, summarising Met Office UKCP18 marine projections and Environment Agency national assessment. https://www.climatescorecard.org/2026/01/uk-sea-level-rise/</w:t>
      </w:r>
    </w:p>
    <w:p>
      <w:pPr>
        <w:pStyle w:val="Normal"/>
        <w:spacing w:before="0" w:after="80"/>
        <w:ind w:left="360" w:hanging="360"/>
        <w:rPr/>
      </w:pPr>
      <w:r>
        <w:rPr>
          <w:sz w:val="18"/>
          <w:szCs w:val="18"/>
        </w:rPr>
        <w:t>30. Tyndall Centre for Climate Change Research (UEA), Sayers and Partners &amp; UK Centre for Ecology and Hydrology, Fens Climate Change Risk Assessment, November 2024. https://tyndall.ac.uk/news/new-climate-report-finds-time-running-out-to-save-the-fens/</w:t>
      </w:r>
    </w:p>
    <w:p>
      <w:pPr>
        <w:pStyle w:val="Normal"/>
        <w:spacing w:before="0" w:after="80"/>
        <w:ind w:left="360" w:hanging="360"/>
        <w:rPr/>
      </w:pPr>
      <w:r>
        <w:rPr>
          <w:sz w:val="18"/>
          <w:szCs w:val="18"/>
        </w:rPr>
        <w:t>31. House of Commons Library, Planning for Solar Farms, Research Briefing CBP-7434, July 2026. https://commonslibrary.parliament.uk/research-briefings/cbp-7434/</w:t>
      </w:r>
    </w:p>
    <w:p>
      <w:pPr>
        <w:pStyle w:val="Normal"/>
        <w:spacing w:before="0" w:after="80"/>
        <w:ind w:left="360" w:hanging="360"/>
        <w:rPr/>
      </w:pPr>
      <w:r>
        <w:rPr>
          <w:sz w:val="18"/>
          <w:szCs w:val="18"/>
        </w:rPr>
        <w:t>32. Institute of Sustainability and Environmental Professionals (ISEP), guidance on large-scale solar and agricultural land, January 2026, citing Climate Change Committee net zero pathway estimates. https://www.isepglobal.org/resources/news/2026/january/the-best-and-most-versatile-farmland-should-be-protected-amid-rapid-expansion-of-uk-solar-power-says-new-guidance/</w:t>
      </w:r>
    </w:p>
    <w:p>
      <w:pPr>
        <w:pStyle w:val="Normal"/>
        <w:spacing w:before="0" w:after="80"/>
        <w:ind w:left="360" w:hanging="360"/>
        <w:rPr/>
      </w:pPr>
      <w:r>
        <w:rPr>
          <w:sz w:val="18"/>
          <w:szCs w:val="18"/>
        </w:rPr>
        <w:t>33. CPRE, “Two-thirds of mega solar farms built on productive farmland”, July 2025. https://www.cpre.org.uk/news/two-thirds-of-mega-solar-farms-built-on-productive-farmland/</w:t>
      </w:r>
    </w:p>
    <w:p>
      <w:pPr>
        <w:pStyle w:val="Normal"/>
        <w:spacing w:before="0" w:after="80"/>
        <w:ind w:left="360" w:hanging="360"/>
        <w:rPr/>
      </w:pPr>
      <w:r>
        <w:rPr>
          <w:sz w:val="18"/>
          <w:szCs w:val="18"/>
        </w:rPr>
        <w:t>34. West Lindsey District Council, “Solar development proposals for West Lindsey” (Gate Burton, Cottam, West Burton and Tillbridge project summaries and DCO decisions). https://www.west-lindsey.gov.uk/planning-building-control/solar-development-proposals-west-lindsey</w:t>
      </w:r>
    </w:p>
    <w:p>
      <w:pPr>
        <w:pStyle w:val="Normal"/>
        <w:spacing w:before="0" w:after="80"/>
        <w:ind w:left="360" w:hanging="360"/>
        <w:rPr/>
      </w:pPr>
      <w:r>
        <w:rPr>
          <w:sz w:val="18"/>
          <w:szCs w:val="18"/>
        </w:rPr>
        <w:t>35. 7000 Acres campaign group, solar farm maps and site area data for the Gainsborough cluster. https://www.7000acres.co.uk/solar-farm-maps</w:t>
      </w:r>
    </w:p>
    <w:p>
      <w:pPr>
        <w:pStyle w:val="Normal"/>
        <w:spacing w:before="0" w:after="80"/>
        <w:ind w:left="360" w:hanging="360"/>
        <w:rPr/>
      </w:pPr>
      <w:r>
        <w:rPr>
          <w:sz w:val="18"/>
          <w:szCs w:val="18"/>
        </w:rPr>
        <w:t>36. Lincolnshire County Council figures on consented and proposed solar land, as reported in Friends of the Earth, “Fact check: British farming and renewables”. https://policy.friendsoftheearth.uk/insight/fact-check-british-farming-and-renewables</w:t>
      </w:r>
    </w:p>
    <w:p>
      <w:pPr>
        <w:pStyle w:val="Normal"/>
        <w:spacing w:before="0" w:after="80"/>
        <w:ind w:left="360" w:hanging="360"/>
        <w:rPr/>
      </w:pPr>
      <w:r>
        <w:rPr>
          <w:sz w:val="18"/>
          <w:szCs w:val="18"/>
        </w:rPr>
        <w:t>37. Solar Power Portal, “UK's biggest solar farm gets development consent order” (Cottam Solar Project DCO decision), July 2025. https://www.solarpowerportal.co.uk/utility-scale-solar/uk-s-biggest-solar-farm-gets-development-consent-order</w:t>
      </w:r>
    </w:p>
    <w:p>
      <w:pPr>
        <w:pStyle w:val="Normal"/>
        <w:spacing w:before="0" w:after="80"/>
        <w:ind w:left="360" w:hanging="360"/>
        <w:rPr/>
      </w:pPr>
      <w:r>
        <w:rPr>
          <w:sz w:val="18"/>
          <w:szCs w:val="18"/>
        </w:rPr>
        <w:t>38. Solar Energy UK, “From Soil to Solar: Integrating Solar Farms into Sustainable Land Use”, March 2026, and Factsheet: Solar Farms and Agricultural Land (with NFU). https://solarenergyuk.org/from-soil-to-solar-integrating-solar-farms-into-sustainable-land-use/</w:t>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Georgia" w:cs="Georgia"/>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Georgia" w:hAnsi="Georgia" w:eastAsia="Georgia" w:cs="Georgia"/>
      <w:color w:val="auto"/>
      <w:kern w:val="0"/>
      <w:sz w:val="22"/>
      <w:szCs w:val="22"/>
      <w:lang w:val="en-GB" w:eastAsia="en-GB" w:bidi="ar-SA"/>
    </w:rPr>
  </w:style>
  <w:style w:type="paragraph" w:styleId="Heading1">
    <w:name w:val="Heading 1"/>
    <w:uiPriority w:val="9"/>
    <w:qFormat/>
    <w:pPr>
      <w:widowControl/>
      <w:bidi w:val="0"/>
      <w:spacing w:before="0" w:after="0"/>
      <w:jc w:val="left"/>
      <w:outlineLvl w:val="0"/>
    </w:pPr>
    <w:rPr>
      <w:rFonts w:ascii="Georgia" w:hAnsi="Georgia" w:eastAsia="Georgia" w:cs="Georgia"/>
      <w:color w:val="2E74B5"/>
      <w:kern w:val="0"/>
      <w:sz w:val="32"/>
      <w:szCs w:val="32"/>
      <w:lang w:val="en-GB" w:eastAsia="en-GB" w:bidi="ar-SA"/>
    </w:rPr>
  </w:style>
  <w:style w:type="paragraph" w:styleId="Heading2">
    <w:name w:val="Heading 2"/>
    <w:uiPriority w:val="9"/>
    <w:unhideWhenUsed/>
    <w:qFormat/>
    <w:pPr>
      <w:widowControl/>
      <w:bidi w:val="0"/>
      <w:spacing w:before="0" w:after="0"/>
      <w:jc w:val="left"/>
      <w:outlineLvl w:val="1"/>
    </w:pPr>
    <w:rPr>
      <w:rFonts w:ascii="Georgia" w:hAnsi="Georgia" w:eastAsia="Georgia" w:cs="Georgia"/>
      <w:color w:val="2E74B5"/>
      <w:kern w:val="0"/>
      <w:sz w:val="26"/>
      <w:szCs w:val="26"/>
      <w:lang w:val="en-GB" w:eastAsia="en-GB" w:bidi="ar-SA"/>
    </w:rPr>
  </w:style>
  <w:style w:type="paragraph" w:styleId="Heading3">
    <w:name w:val="Heading 3"/>
    <w:uiPriority w:val="9"/>
    <w:semiHidden/>
    <w:unhideWhenUsed/>
    <w:qFormat/>
    <w:pPr>
      <w:widowControl/>
      <w:bidi w:val="0"/>
      <w:spacing w:before="0" w:after="0"/>
      <w:jc w:val="left"/>
      <w:outlineLvl w:val="2"/>
    </w:pPr>
    <w:rPr>
      <w:rFonts w:ascii="Georgia" w:hAnsi="Georgia" w:eastAsia="Georgia" w:cs="Georgia"/>
      <w:color w:val="1F4D78"/>
      <w:kern w:val="0"/>
      <w:sz w:val="24"/>
      <w:szCs w:val="24"/>
      <w:lang w:val="en-GB" w:eastAsia="en-GB" w:bidi="ar-SA"/>
    </w:rPr>
  </w:style>
  <w:style w:type="paragraph" w:styleId="Heading4">
    <w:name w:val="Heading 4"/>
    <w:uiPriority w:val="9"/>
    <w:semiHidden/>
    <w:unhideWhenUsed/>
    <w:qFormat/>
    <w:pPr>
      <w:widowControl/>
      <w:bidi w:val="0"/>
      <w:spacing w:before="0" w:after="0"/>
      <w:jc w:val="left"/>
      <w:outlineLvl w:val="3"/>
    </w:pPr>
    <w:rPr>
      <w:rFonts w:ascii="Georgia" w:hAnsi="Georgia" w:eastAsia="Georgia" w:cs="Georgia"/>
      <w:i/>
      <w:iCs/>
      <w:color w:val="2E74B5"/>
      <w:kern w:val="0"/>
      <w:sz w:val="22"/>
      <w:szCs w:val="22"/>
      <w:lang w:val="en-GB" w:eastAsia="en-GB" w:bidi="ar-SA"/>
    </w:rPr>
  </w:style>
  <w:style w:type="paragraph" w:styleId="Heading5">
    <w:name w:val="Heading 5"/>
    <w:uiPriority w:val="9"/>
    <w:semiHidden/>
    <w:unhideWhenUsed/>
    <w:qFormat/>
    <w:pPr>
      <w:widowControl/>
      <w:bidi w:val="0"/>
      <w:spacing w:before="0" w:after="0"/>
      <w:jc w:val="left"/>
      <w:outlineLvl w:val="4"/>
    </w:pPr>
    <w:rPr>
      <w:rFonts w:ascii="Georgia" w:hAnsi="Georgia" w:eastAsia="Georgia" w:cs="Georgia"/>
      <w:color w:val="2E74B5"/>
      <w:kern w:val="0"/>
      <w:sz w:val="22"/>
      <w:szCs w:val="22"/>
      <w:lang w:val="en-GB" w:eastAsia="en-GB" w:bidi="ar-SA"/>
    </w:rPr>
  </w:style>
  <w:style w:type="paragraph" w:styleId="Heading6">
    <w:name w:val="Heading 6"/>
    <w:uiPriority w:val="9"/>
    <w:semiHidden/>
    <w:unhideWhenUsed/>
    <w:qFormat/>
    <w:pPr>
      <w:widowControl/>
      <w:bidi w:val="0"/>
      <w:spacing w:before="0" w:after="0"/>
      <w:jc w:val="left"/>
      <w:outlineLvl w:val="5"/>
    </w:pPr>
    <w:rPr>
      <w:rFonts w:ascii="Georgia" w:hAnsi="Georgia" w:eastAsia="Georgia" w:cs="Georgia"/>
      <w:color w:val="1F4D78"/>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Anchor">
    <w:name w:val="Footnote Anchor"/>
    <w:rPr>
      <w:vertAlign w:val="superscript"/>
    </w:rPr>
  </w:style>
  <w:style w:type="character" w:styleId="FootnoteTextChar" w:customStyle="1">
    <w:name w:val="Footnote Text Char"/>
    <w:link w:val="Footnote"/>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Anchor">
    <w:name w:val="Endnote Anchor"/>
    <w:rPr>
      <w:vertAlign w:val="superscript"/>
    </w:rPr>
  </w:style>
  <w:style w:type="character" w:styleId="EndnoteTextChar" w:customStyle="1">
    <w:name w:val="Endnote Text Char"/>
    <w:link w:val="Endnote"/>
    <w:uiPriority w:val="99"/>
    <w:semiHidden/>
    <w:unhideWhenUsed/>
    <w:qFormat/>
    <w:rPr>
      <w:sz w:val="20"/>
      <w:szCs w:val="20"/>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Title">
    <w:name w:val="Title"/>
    <w:uiPriority w:val="10"/>
    <w:qFormat/>
    <w:pPr>
      <w:widowControl/>
      <w:bidi w:val="0"/>
      <w:spacing w:before="0" w:after="0"/>
      <w:jc w:val="left"/>
    </w:pPr>
    <w:rPr>
      <w:rFonts w:ascii="Georgia" w:hAnsi="Georgia" w:eastAsia="Georgia" w:cs="Georgia"/>
      <w:color w:val="auto"/>
      <w:kern w:val="0"/>
      <w:sz w:val="56"/>
      <w:szCs w:val="56"/>
      <w:lang w:val="en-GB" w:eastAsia="en-GB" w:bidi="ar-SA"/>
    </w:rPr>
  </w:style>
  <w:style w:type="paragraph" w:styleId="Strong1" w:customStyle="1">
    <w:name w:val="Strong1"/>
    <w:qFormat/>
    <w:pPr>
      <w:widowControl/>
      <w:bidi w:val="0"/>
      <w:spacing w:before="0" w:after="0"/>
      <w:jc w:val="left"/>
    </w:pPr>
    <w:rPr>
      <w:rFonts w:ascii="Georgia" w:hAnsi="Georgia" w:eastAsia="Georgia" w:cs="Georgia"/>
      <w:b/>
      <w:bCs/>
      <w:color w:val="auto"/>
      <w:kern w:val="0"/>
      <w:sz w:val="22"/>
      <w:szCs w:val="22"/>
      <w:lang w:val="en-GB" w:eastAsia="en-GB" w:bidi="ar-SA"/>
    </w:rPr>
  </w:style>
  <w:style w:type="paragraph" w:styleId="ListParagraph">
    <w:name w:val="List Paragraph"/>
    <w:qFormat/>
    <w:pPr>
      <w:widowControl/>
      <w:bidi w:val="0"/>
      <w:spacing w:before="0" w:after="0"/>
      <w:jc w:val="left"/>
    </w:pPr>
    <w:rPr>
      <w:rFonts w:ascii="Georgia" w:hAnsi="Georgia" w:eastAsia="Georgia" w:cs="Georgia"/>
      <w:color w:val="auto"/>
      <w:kern w:val="0"/>
      <w:sz w:val="22"/>
      <w:szCs w:val="22"/>
      <w:lang w:val="en-GB" w:eastAsia="en-GB" w:bidi="ar-SA"/>
    </w:rPr>
  </w:style>
  <w:style w:type="paragraph" w:styleId="Footnote">
    <w:name w:val="Footnote Text"/>
    <w:link w:val="FootnoteTextChar"/>
    <w:uiPriority w:val="99"/>
    <w:semiHidden/>
    <w:unhideWhenUsed/>
    <w:pPr>
      <w:widowControl/>
      <w:bidi w:val="0"/>
      <w:spacing w:before="0" w:after="0"/>
      <w:jc w:val="left"/>
    </w:pPr>
    <w:rPr>
      <w:rFonts w:ascii="Georgia" w:hAnsi="Georgia" w:eastAsia="Georgia" w:cs="Georgia"/>
      <w:color w:val="auto"/>
      <w:kern w:val="0"/>
      <w:sz w:val="20"/>
      <w:szCs w:val="20"/>
      <w:lang w:val="en-GB" w:eastAsia="en-GB" w:bidi="ar-SA"/>
    </w:rPr>
  </w:style>
  <w:style w:type="paragraph" w:styleId="Endnote">
    <w:name w:val="Endnote Text"/>
    <w:link w:val="EndnoteTextChar"/>
    <w:uiPriority w:val="99"/>
    <w:semiHidden/>
    <w:unhideWhenUsed/>
    <w:pPr>
      <w:widowControl/>
      <w:bidi w:val="0"/>
      <w:spacing w:before="0" w:after="0"/>
      <w:jc w:val="left"/>
    </w:pPr>
    <w:rPr>
      <w:rFonts w:ascii="Georgia" w:hAnsi="Georgia" w:eastAsia="Georgia" w:cs="Georgia"/>
      <w:color w:val="auto"/>
      <w:kern w:val="0"/>
      <w:sz w:val="20"/>
      <w:szCs w:val="20"/>
      <w:lang w:val="en-GB" w:eastAsia="en-GB"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LibreOffice/7.3.5.2$Windows_X86_64 LibreOffice_project/184fe81b8c8c30d8b5082578aee2fed2ea847c01</Application>
  <AppVersion>15.0000</AppVersion>
  <Pages>9</Pages>
  <Words>5010</Words>
  <Characters>29570</Characters>
  <CharactersWithSpaces>34527</CharactersWithSpaces>
  <Paragraphs>116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2026-07-13T18:24:00Z</dcterms:created>
  <dc:creator>Councillor Steve Kirk FCMI CMgr</dc:creator>
  <dc:description/>
  <dc:language>en-GB</dc:language>
  <cp:lastModifiedBy>Steve Kirk</cp:lastModifiedBy>
  <dcterms:modified xsi:type="dcterms:W3CDTF">2026-07-13T18:24:00Z</dcterms:modified>
  <cp:revision>2</cp:revision>
  <dc:subject/>
  <dc:title>The Future Food Security of the United Kingdom - Introduction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26f5697d-65e0-4d27-b5dd-bd4f4aeff41c</vt:lpwstr>
  </property>
</Properties>
</file>