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699DDE" w14:textId="77777777" w:rsidR="00C74B57" w:rsidRDefault="000560D3">
      <w:pPr>
        <w:pStyle w:val="Heading1"/>
        <w:jc w:val="center"/>
        <w:rPr>
          <w:rFonts w:hint="eastAsia"/>
        </w:rPr>
      </w:pPr>
      <w:r>
        <w:t>Terms and Conditions</w:t>
      </w:r>
    </w:p>
    <w:p w14:paraId="49DA03E5" w14:textId="77777777" w:rsidR="00C74B57" w:rsidRDefault="00C74B57">
      <w:pPr>
        <w:pStyle w:val="BodyText"/>
        <w:rPr>
          <w:rFonts w:hint="eastAsia"/>
        </w:rPr>
      </w:pPr>
    </w:p>
    <w:p w14:paraId="4BD45583" w14:textId="77777777" w:rsidR="00C74B57" w:rsidRDefault="000560D3">
      <w:pPr>
        <w:pStyle w:val="BodyText"/>
        <w:numPr>
          <w:ilvl w:val="0"/>
          <w:numId w:val="2"/>
        </w:numPr>
        <w:tabs>
          <w:tab w:val="clear" w:pos="720"/>
          <w:tab w:val="left" w:pos="707"/>
        </w:tabs>
        <w:spacing w:after="0"/>
        <w:ind w:left="707" w:hanging="283"/>
        <w:rPr>
          <w:rFonts w:hint="eastAsia"/>
        </w:rPr>
      </w:pPr>
      <w:r>
        <w:t xml:space="preserve">The cost of each entry is £10 per month. Players may purchase more than one entry, and payment must be in advance. Entry is open to all Boston and Skegness Conservative Association members and supporters. </w:t>
      </w:r>
    </w:p>
    <w:p w14:paraId="2BE15CF4" w14:textId="24829612" w:rsidR="00C74B57" w:rsidRDefault="000560D3">
      <w:pPr>
        <w:pStyle w:val="BodyText"/>
        <w:numPr>
          <w:ilvl w:val="0"/>
          <w:numId w:val="2"/>
        </w:numPr>
        <w:tabs>
          <w:tab w:val="clear" w:pos="720"/>
          <w:tab w:val="left" w:pos="707"/>
        </w:tabs>
        <w:spacing w:after="0"/>
        <w:ind w:left="707" w:hanging="283"/>
        <w:rPr>
          <w:rFonts w:hint="eastAsia"/>
        </w:rPr>
      </w:pPr>
      <w:r>
        <w:t xml:space="preserve">Not to be sold by or to anyone under 18 years of age. Any person found to be under 18 years of age automatically forfeits the right to any prize. Any entries bought by under 18’s will be excluded from the draw and considered as donations to the </w:t>
      </w:r>
      <w:r w:rsidR="00B84335">
        <w:t>Association</w:t>
      </w:r>
      <w:r>
        <w:t xml:space="preserve">. </w:t>
      </w:r>
    </w:p>
    <w:p w14:paraId="7FB7D8B9" w14:textId="77777777" w:rsidR="00C74B57" w:rsidRDefault="000560D3">
      <w:pPr>
        <w:pStyle w:val="BodyText"/>
        <w:numPr>
          <w:ilvl w:val="0"/>
          <w:numId w:val="2"/>
        </w:numPr>
        <w:tabs>
          <w:tab w:val="clear" w:pos="720"/>
          <w:tab w:val="left" w:pos="707"/>
        </w:tabs>
        <w:spacing w:after="0"/>
        <w:ind w:left="707" w:hanging="283"/>
        <w:rPr>
          <w:rFonts w:hint="eastAsia"/>
        </w:rPr>
      </w:pPr>
      <w:r>
        <w:t xml:space="preserve">Your unique lottery number(s) will be entered and confirmed by post within 21 days. Your number(s) will remain the same each week. No ticket will be supplied. </w:t>
      </w:r>
    </w:p>
    <w:p w14:paraId="4B023A7A" w14:textId="7BBA6A86" w:rsidR="00C74B57" w:rsidRDefault="000560D3">
      <w:pPr>
        <w:pStyle w:val="BodyText"/>
        <w:numPr>
          <w:ilvl w:val="0"/>
          <w:numId w:val="2"/>
        </w:numPr>
        <w:tabs>
          <w:tab w:val="clear" w:pos="720"/>
          <w:tab w:val="left" w:pos="707"/>
        </w:tabs>
        <w:spacing w:after="0"/>
        <w:rPr>
          <w:rFonts w:hint="eastAsia"/>
        </w:rPr>
      </w:pPr>
      <w:r>
        <w:t xml:space="preserve">The </w:t>
      </w:r>
      <w:r w:rsidR="006627CC">
        <w:t xml:space="preserve">Association </w:t>
      </w:r>
      <w:r>
        <w:t xml:space="preserve">Lottery Monthly draw is conducted by using a random number generator which will select a six digit number </w:t>
      </w:r>
      <w:r w:rsidR="00F95CE2">
        <w:t xml:space="preserve">around </w:t>
      </w:r>
      <w:r>
        <w:t>the 10</w:t>
      </w:r>
      <w:r>
        <w:rPr>
          <w:vertAlign w:val="superscript"/>
        </w:rPr>
        <w:t>th</w:t>
      </w:r>
      <w:r>
        <w:t xml:space="preserve"> of the month. Only Lottery numbers for players with sufficient credit at the time of the draw will be eligible for prizes. Late or missed payments may result in player’s lottery numbers not being eligible for every draw. </w:t>
      </w:r>
    </w:p>
    <w:p w14:paraId="2F8A2B2B" w14:textId="2F8BF323" w:rsidR="00C74B57" w:rsidRDefault="000560D3">
      <w:pPr>
        <w:pStyle w:val="BodyText"/>
        <w:numPr>
          <w:ilvl w:val="0"/>
          <w:numId w:val="2"/>
        </w:numPr>
        <w:tabs>
          <w:tab w:val="clear" w:pos="720"/>
          <w:tab w:val="left" w:pos="707"/>
        </w:tabs>
        <w:spacing w:after="0"/>
        <w:ind w:left="707" w:hanging="283"/>
        <w:rPr>
          <w:rFonts w:hint="eastAsia"/>
        </w:rPr>
      </w:pPr>
      <w:r>
        <w:t xml:space="preserve">The Winning Numbers will be available via the </w:t>
      </w:r>
      <w:proofErr w:type="spellStart"/>
      <w:r w:rsidR="006627CC">
        <w:t>The</w:t>
      </w:r>
      <w:proofErr w:type="spellEnd"/>
      <w:r w:rsidR="006627CC">
        <w:t xml:space="preserve"> Association </w:t>
      </w:r>
      <w:r>
        <w:t>Lottery and will also be published in the Branch members newsletter</w:t>
      </w:r>
      <w:r w:rsidR="006627CC">
        <w:t>s</w:t>
      </w:r>
      <w:r>
        <w:t xml:space="preserve">. Results will be available from the Monday following the draw. </w:t>
      </w:r>
    </w:p>
    <w:p w14:paraId="62A6EA15" w14:textId="05B9AF98" w:rsidR="00C74B57" w:rsidRDefault="000560D3">
      <w:pPr>
        <w:pStyle w:val="BodyText"/>
        <w:numPr>
          <w:ilvl w:val="0"/>
          <w:numId w:val="2"/>
        </w:numPr>
        <w:tabs>
          <w:tab w:val="clear" w:pos="720"/>
          <w:tab w:val="left" w:pos="707"/>
        </w:tabs>
        <w:spacing w:after="0"/>
        <w:ind w:left="707" w:hanging="283"/>
        <w:rPr>
          <w:rFonts w:hint="eastAsia"/>
        </w:rPr>
      </w:pPr>
      <w:r>
        <w:t xml:space="preserve">Winning combinations will be for players lottery numbers which match with the </w:t>
      </w:r>
      <w:r w:rsidR="00CC161D">
        <w:t xml:space="preserve">5 of the 6 </w:t>
      </w:r>
      <w:r>
        <w:t>Numbers. There are no alternatives to any prize and no interest will be payable. If you pay by Standing Order prizes will be paid directly into your bank account within 3 working days of the draw taking place. If you pay by Cheque you will receive a cheque in the post.</w:t>
      </w:r>
    </w:p>
    <w:p w14:paraId="386F2330" w14:textId="62C50495" w:rsidR="00C74B57" w:rsidRDefault="000560D3">
      <w:pPr>
        <w:pStyle w:val="BodyText"/>
        <w:numPr>
          <w:ilvl w:val="0"/>
          <w:numId w:val="2"/>
        </w:numPr>
        <w:tabs>
          <w:tab w:val="clear" w:pos="720"/>
          <w:tab w:val="left" w:pos="707"/>
        </w:tabs>
        <w:spacing w:after="0"/>
        <w:ind w:left="707" w:hanging="283"/>
        <w:rPr>
          <w:rFonts w:hint="eastAsia"/>
        </w:rPr>
      </w:pPr>
      <w:r>
        <w:t xml:space="preserve">Match </w:t>
      </w:r>
      <w:r w:rsidR="00CC161D">
        <w:t>5</w:t>
      </w:r>
      <w:r>
        <w:t xml:space="preserve"> numbers in any order to be eligible for the main prize of 50% of receipts collected. Matching multiple entries will share the prize money equally.</w:t>
      </w:r>
    </w:p>
    <w:p w14:paraId="1AA5B012" w14:textId="6FCC1179" w:rsidR="00C74B57" w:rsidRDefault="000560D3">
      <w:pPr>
        <w:pStyle w:val="BodyText"/>
        <w:numPr>
          <w:ilvl w:val="0"/>
          <w:numId w:val="2"/>
        </w:numPr>
        <w:tabs>
          <w:tab w:val="clear" w:pos="720"/>
          <w:tab w:val="left" w:pos="707"/>
        </w:tabs>
        <w:spacing w:after="0"/>
        <w:ind w:left="707" w:hanging="283"/>
        <w:rPr>
          <w:rFonts w:hint="eastAsia"/>
        </w:rPr>
      </w:pPr>
      <w:r>
        <w:t xml:space="preserve">All profits from </w:t>
      </w:r>
      <w:r w:rsidR="006627CC">
        <w:t xml:space="preserve">The Association </w:t>
      </w:r>
      <w:r>
        <w:t xml:space="preserve">Monthly Lottery go to supporting the activities of </w:t>
      </w:r>
      <w:r w:rsidR="006627CC">
        <w:t>The Association</w:t>
      </w:r>
      <w:r>
        <w:t xml:space="preserve">. </w:t>
      </w:r>
    </w:p>
    <w:p w14:paraId="61606EE4" w14:textId="1626DC9D" w:rsidR="00C74B57" w:rsidRDefault="006627CC">
      <w:pPr>
        <w:pStyle w:val="BodyText"/>
        <w:numPr>
          <w:ilvl w:val="0"/>
          <w:numId w:val="2"/>
        </w:numPr>
        <w:tabs>
          <w:tab w:val="clear" w:pos="720"/>
          <w:tab w:val="left" w:pos="707"/>
        </w:tabs>
        <w:spacing w:after="0"/>
        <w:rPr>
          <w:rFonts w:hint="eastAsia"/>
        </w:rPr>
      </w:pPr>
      <w:r>
        <w:t xml:space="preserve">The Association </w:t>
      </w:r>
      <w:r w:rsidR="000560D3">
        <w:t xml:space="preserve">Lottery is not responsible for any delays in bank payments. Entries can only be included in the lottery once full payment for each entry has been received. </w:t>
      </w:r>
    </w:p>
    <w:p w14:paraId="4B8AFE30" w14:textId="77777777" w:rsidR="00C74B57" w:rsidRDefault="000560D3">
      <w:pPr>
        <w:pStyle w:val="BodyText"/>
        <w:numPr>
          <w:ilvl w:val="0"/>
          <w:numId w:val="2"/>
        </w:numPr>
        <w:tabs>
          <w:tab w:val="clear" w:pos="720"/>
          <w:tab w:val="left" w:pos="707"/>
        </w:tabs>
        <w:spacing w:after="0"/>
        <w:ind w:left="707" w:hanging="283"/>
        <w:rPr>
          <w:rFonts w:hint="eastAsia"/>
        </w:rPr>
      </w:pPr>
      <w:r>
        <w:t xml:space="preserve">CAF (Charity Aid Foundation) payments cannot be accepted to pay for lottery entries. All CAF payments will be returned with a request for alternative payment or treated as donations. </w:t>
      </w:r>
    </w:p>
    <w:p w14:paraId="2E465DB7" w14:textId="77777777" w:rsidR="00C74B57" w:rsidRDefault="000560D3">
      <w:pPr>
        <w:pStyle w:val="BodyText"/>
        <w:numPr>
          <w:ilvl w:val="0"/>
          <w:numId w:val="2"/>
        </w:numPr>
        <w:tabs>
          <w:tab w:val="clear" w:pos="720"/>
          <w:tab w:val="left" w:pos="707"/>
        </w:tabs>
        <w:spacing w:after="0"/>
        <w:rPr>
          <w:rFonts w:hint="eastAsia"/>
        </w:rPr>
      </w:pPr>
      <w:r>
        <w:t xml:space="preserve">No liability is accepted for loss, theft or delayed receipt of any communication sent by post. </w:t>
      </w:r>
    </w:p>
    <w:p w14:paraId="5C860CFF" w14:textId="0AFEBC1F" w:rsidR="00C74B57" w:rsidRDefault="006627CC">
      <w:pPr>
        <w:pStyle w:val="BodyText"/>
        <w:numPr>
          <w:ilvl w:val="0"/>
          <w:numId w:val="2"/>
        </w:numPr>
        <w:tabs>
          <w:tab w:val="clear" w:pos="720"/>
          <w:tab w:val="left" w:pos="707"/>
        </w:tabs>
        <w:spacing w:after="0"/>
        <w:rPr>
          <w:rFonts w:hint="eastAsia"/>
        </w:rPr>
      </w:pPr>
      <w:r>
        <w:t xml:space="preserve">The Association </w:t>
      </w:r>
      <w:r w:rsidR="000560D3">
        <w:t xml:space="preserve">Lottery may (without giving any reason or notice) decline to accept an application, cancel an existing subscription or terminate or suspend the lottery scheme. </w:t>
      </w:r>
      <w:r w:rsidR="0073542B">
        <w:t xml:space="preserve">The Association </w:t>
      </w:r>
      <w:r w:rsidR="000560D3">
        <w:t xml:space="preserve">Lottery decisions made regarding the lottery and its rules shall, once made, be final and binding. </w:t>
      </w:r>
    </w:p>
    <w:p w14:paraId="1DAD7279" w14:textId="70BB6995" w:rsidR="00C74B57" w:rsidRDefault="000560D3">
      <w:pPr>
        <w:pStyle w:val="BodyText"/>
        <w:numPr>
          <w:ilvl w:val="0"/>
          <w:numId w:val="2"/>
        </w:numPr>
        <w:tabs>
          <w:tab w:val="clear" w:pos="720"/>
          <w:tab w:val="left" w:pos="707"/>
        </w:tabs>
        <w:spacing w:after="0"/>
        <w:rPr>
          <w:rFonts w:hint="eastAsia"/>
        </w:rPr>
      </w:pPr>
      <w:r>
        <w:t xml:space="preserve">The rules are subject to change by </w:t>
      </w:r>
      <w:r w:rsidR="0073542B">
        <w:t>The Association</w:t>
      </w:r>
      <w:r>
        <w:t xml:space="preserve">.  </w:t>
      </w:r>
    </w:p>
    <w:p w14:paraId="220D4BA6" w14:textId="77777777" w:rsidR="00C74B57" w:rsidRDefault="00C74B57">
      <w:pPr>
        <w:pStyle w:val="BodyText"/>
        <w:tabs>
          <w:tab w:val="left" w:pos="707"/>
        </w:tabs>
        <w:spacing w:after="0"/>
        <w:ind w:left="720"/>
        <w:rPr>
          <w:rFonts w:hint="eastAsia"/>
        </w:rPr>
      </w:pPr>
    </w:p>
    <w:p w14:paraId="731BE1EA" w14:textId="77777777" w:rsidR="00C74B57" w:rsidRDefault="00C74B57">
      <w:pPr>
        <w:pStyle w:val="BodyText"/>
        <w:tabs>
          <w:tab w:val="left" w:pos="707"/>
        </w:tabs>
        <w:spacing w:after="0"/>
        <w:ind w:left="720"/>
        <w:rPr>
          <w:rFonts w:hint="eastAsia"/>
        </w:rPr>
      </w:pPr>
    </w:p>
    <w:p w14:paraId="0FB6BA35" w14:textId="224D1C90" w:rsidR="00C74B57" w:rsidRDefault="0073542B">
      <w:pPr>
        <w:pStyle w:val="BodyText"/>
        <w:numPr>
          <w:ilvl w:val="0"/>
          <w:numId w:val="2"/>
        </w:numPr>
        <w:tabs>
          <w:tab w:val="clear" w:pos="720"/>
          <w:tab w:val="left" w:pos="707"/>
        </w:tabs>
        <w:spacing w:after="0"/>
        <w:rPr>
          <w:rFonts w:hint="eastAsia"/>
        </w:rPr>
      </w:pPr>
      <w:r>
        <w:t xml:space="preserve">The Association </w:t>
      </w:r>
      <w:r w:rsidR="000560D3">
        <w:t xml:space="preserve">will collect and process participants' personal information in order to conduct the Monthly Lottery and it will be shared with </w:t>
      </w:r>
      <w:r>
        <w:t xml:space="preserve">The Association </w:t>
      </w:r>
      <w:r w:rsidR="000560D3">
        <w:t xml:space="preserve">Lottery agents to the extent necessary for the Monthly Lottery to be administered and the prize to be delivered to </w:t>
      </w:r>
      <w:r w:rsidR="000560D3">
        <w:lastRenderedPageBreak/>
        <w:t xml:space="preserve">the winner. Players’ names and other personal details from their entry to the Monthly Lottery will be collected and stored by </w:t>
      </w:r>
      <w:r>
        <w:t xml:space="preserve">The Association </w:t>
      </w:r>
      <w:r w:rsidR="000560D3">
        <w:t xml:space="preserve">Lottery and held in accordance with the applicable privacy policy in place from time to time </w:t>
      </w:r>
    </w:p>
    <w:p w14:paraId="701241D1" w14:textId="56370183" w:rsidR="00C74B57" w:rsidRDefault="0020660C">
      <w:pPr>
        <w:pStyle w:val="BodyText"/>
        <w:numPr>
          <w:ilvl w:val="0"/>
          <w:numId w:val="2"/>
        </w:numPr>
        <w:tabs>
          <w:tab w:val="clear" w:pos="720"/>
          <w:tab w:val="left" w:pos="707"/>
        </w:tabs>
        <w:spacing w:after="0"/>
        <w:rPr>
          <w:rFonts w:hint="eastAsia"/>
        </w:rPr>
      </w:pPr>
      <w:r>
        <w:t xml:space="preserve">The Association </w:t>
      </w:r>
      <w:r w:rsidR="000560D3">
        <w:t xml:space="preserve">maintains records of </w:t>
      </w:r>
      <w:r>
        <w:t xml:space="preserve">General </w:t>
      </w:r>
      <w:r w:rsidR="000560D3">
        <w:t xml:space="preserve">funds separately from Lottery. This means that steps have been taken to separately account for </w:t>
      </w:r>
      <w:r>
        <w:t xml:space="preserve">Association </w:t>
      </w:r>
      <w:r w:rsidR="000560D3">
        <w:t xml:space="preserve">funds from Lottery funds however those funds are not protected if </w:t>
      </w:r>
      <w:r>
        <w:t xml:space="preserve">Lottery </w:t>
      </w:r>
      <w:r w:rsidR="000560D3">
        <w:t xml:space="preserve">becomes insolvent. This meets the Gambling Commission’s requirements for the segregation of customer funds at the basic level of protection. </w:t>
      </w:r>
    </w:p>
    <w:p w14:paraId="0773E278" w14:textId="77777777" w:rsidR="00C74B57" w:rsidRDefault="000560D3">
      <w:pPr>
        <w:pStyle w:val="BodyText"/>
        <w:numPr>
          <w:ilvl w:val="0"/>
          <w:numId w:val="2"/>
        </w:numPr>
        <w:tabs>
          <w:tab w:val="left" w:pos="450"/>
        </w:tabs>
        <w:spacing w:after="0"/>
        <w:rPr>
          <w:rFonts w:hint="eastAsia"/>
        </w:rPr>
      </w:pPr>
      <w:r>
        <w:t xml:space="preserve">These terms and conditions are governed by English law. The courts of England and Wales shall have exclusive jurisdiction to hear any dispute or claim arising in Branch with the Monthly Lottery or these terms and conditions. </w:t>
      </w:r>
    </w:p>
    <w:p w14:paraId="03C3CCAC" w14:textId="057AB591" w:rsidR="00C74B57" w:rsidRDefault="000560D3">
      <w:pPr>
        <w:pStyle w:val="BodyText"/>
        <w:numPr>
          <w:ilvl w:val="0"/>
          <w:numId w:val="2"/>
        </w:numPr>
        <w:tabs>
          <w:tab w:val="clear" w:pos="720"/>
          <w:tab w:val="left" w:pos="707"/>
        </w:tabs>
        <w:spacing w:after="0"/>
        <w:rPr>
          <w:rFonts w:hint="eastAsia"/>
        </w:rPr>
      </w:pPr>
      <w:r>
        <w:t xml:space="preserve">In the event of an error, howsoever caused, whether a printing error or otherwise and whether obvious or otherwise, which affects the lottery in any way, the organisers reserve the right to fairly administer the lottery as though the error had not occurred. Where the organisers deem it appropriate and/or feasible </w:t>
      </w:r>
      <w:r w:rsidR="00066A86">
        <w:t xml:space="preserve">The Association </w:t>
      </w:r>
      <w:r>
        <w:t xml:space="preserve">Lottery will notify entrants of the error. </w:t>
      </w:r>
    </w:p>
    <w:p w14:paraId="098F8302" w14:textId="074BDB21" w:rsidR="00C74B57" w:rsidRDefault="000560D3">
      <w:pPr>
        <w:pStyle w:val="BodyText"/>
        <w:numPr>
          <w:ilvl w:val="0"/>
          <w:numId w:val="2"/>
        </w:numPr>
        <w:tabs>
          <w:tab w:val="clear" w:pos="720"/>
          <w:tab w:val="left" w:pos="707"/>
        </w:tabs>
        <w:rPr>
          <w:rFonts w:hint="eastAsia"/>
        </w:rPr>
      </w:pPr>
      <w:r>
        <w:t xml:space="preserve">All proceeds from this lottery will be used for the purposes of supporting the activities of the </w:t>
      </w:r>
      <w:proofErr w:type="spellStart"/>
      <w:r w:rsidR="00066A86">
        <w:t>The</w:t>
      </w:r>
      <w:proofErr w:type="spellEnd"/>
      <w:r w:rsidR="00066A86">
        <w:t xml:space="preserve"> Association </w:t>
      </w:r>
      <w:r>
        <w:t>with a guaranteed 50% of proceeds being given as prize fund.</w:t>
      </w:r>
    </w:p>
    <w:p w14:paraId="61A190C2" w14:textId="77777777" w:rsidR="00C74B57" w:rsidRDefault="00C74B57">
      <w:pPr>
        <w:pStyle w:val="BodyText"/>
        <w:ind w:left="720"/>
        <w:rPr>
          <w:rFonts w:hint="eastAsia"/>
        </w:rPr>
      </w:pPr>
    </w:p>
    <w:p w14:paraId="0E3B42B0" w14:textId="20A3B297" w:rsidR="00C74B57" w:rsidRDefault="000560D3">
      <w:pPr>
        <w:pStyle w:val="BodyText"/>
        <w:rPr>
          <w:rFonts w:hint="eastAsia"/>
        </w:rPr>
      </w:pPr>
      <w:r>
        <w:t>Responsible person:</w:t>
      </w:r>
      <w:r>
        <w:rPr>
          <w:color w:val="C9211E"/>
        </w:rPr>
        <w:t xml:space="preserve"> </w:t>
      </w:r>
      <w:r w:rsidR="00FF3A20">
        <w:rPr>
          <w:color w:val="000000"/>
        </w:rPr>
        <w:t>James Cantwell</w:t>
      </w:r>
      <w:r>
        <w:t xml:space="preserve">, Lottery Manager, </w:t>
      </w:r>
      <w:r w:rsidR="00066A86">
        <w:t xml:space="preserve">Boston and Skegness Conservative Association </w:t>
      </w:r>
      <w:r>
        <w:t xml:space="preserve">Lottery, . Licensed by Boston borough </w:t>
      </w:r>
      <w:proofErr w:type="spellStart"/>
      <w:r>
        <w:t>Borough</w:t>
      </w:r>
      <w:proofErr w:type="spellEnd"/>
      <w:r>
        <w:t xml:space="preserve"> Council under Sch. 11, Part 5 under the Small Society Lottery Gambling Act 2005. Registration number B713</w:t>
      </w:r>
    </w:p>
    <w:p w14:paraId="127A161C" w14:textId="77777777" w:rsidR="00DC5FB7" w:rsidRDefault="00DC5FB7">
      <w:pPr>
        <w:pStyle w:val="BodyText"/>
        <w:rPr>
          <w:rFonts w:hint="eastAsia"/>
        </w:rPr>
      </w:pPr>
    </w:p>
    <w:sectPr w:rsidR="00DC5FB7">
      <w:headerReference w:type="even" r:id="rId7"/>
      <w:headerReference w:type="default" r:id="rId8"/>
      <w:footerReference w:type="even" r:id="rId9"/>
      <w:footerReference w:type="default" r:id="rId10"/>
      <w:headerReference w:type="first" r:id="rId11"/>
      <w:footerReference w:type="first" r:id="rId12"/>
      <w:pgSz w:w="11906" w:h="16838"/>
      <w:pgMar w:top="1871" w:right="1134" w:bottom="1701" w:left="1134" w:header="1134"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C8CD" w14:textId="77777777" w:rsidR="00DC5FB7" w:rsidRDefault="00DC5FB7">
      <w:pPr>
        <w:rPr>
          <w:rFonts w:hint="eastAsia"/>
        </w:rPr>
      </w:pPr>
      <w:r>
        <w:separator/>
      </w:r>
    </w:p>
  </w:endnote>
  <w:endnote w:type="continuationSeparator" w:id="0">
    <w:p w14:paraId="397A4EA1" w14:textId="77777777" w:rsidR="00DC5FB7" w:rsidRDefault="00DC5FB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367B" w14:textId="77777777" w:rsidR="00B84335" w:rsidRDefault="00B84335">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1FE0" w14:textId="7C9F3FEA" w:rsidR="00C74B57" w:rsidRDefault="000560D3">
    <w:pPr>
      <w:pStyle w:val="Footer"/>
      <w:jc w:val="center"/>
      <w:rPr>
        <w:rFonts w:hint="eastAsia"/>
      </w:rPr>
    </w:pPr>
    <w:r>
      <w:rPr>
        <w:sz w:val="16"/>
        <w:szCs w:val="16"/>
      </w:rPr>
      <w:t xml:space="preserve">Promoted by </w:t>
    </w:r>
    <w:r w:rsidR="008B0A16" w:rsidRPr="008B0A16">
      <w:rPr>
        <w:sz w:val="16"/>
        <w:szCs w:val="16"/>
      </w:rPr>
      <w:t xml:space="preserve">Lana </w:t>
    </w:r>
    <w:proofErr w:type="spellStart"/>
    <w:r w:rsidR="008B0A16" w:rsidRPr="008B0A16">
      <w:rPr>
        <w:sz w:val="16"/>
        <w:szCs w:val="16"/>
      </w:rPr>
      <w:t>Maclennan</w:t>
    </w:r>
    <w:proofErr w:type="spellEnd"/>
    <w:r w:rsidR="008B0A16" w:rsidRPr="008B0A16">
      <w:rPr>
        <w:sz w:val="16"/>
        <w:szCs w:val="16"/>
      </w:rPr>
      <w:t>-James</w:t>
    </w:r>
    <w:r>
      <w:rPr>
        <w:sz w:val="16"/>
        <w:szCs w:val="16"/>
      </w:rPr>
      <w:t xml:space="preserve">, Published and Printed by </w:t>
    </w:r>
    <w:r w:rsidR="00FF3A20">
      <w:rPr>
        <w:sz w:val="16"/>
        <w:szCs w:val="16"/>
      </w:rPr>
      <w:t>J</w:t>
    </w:r>
    <w:r w:rsidR="008B0A16">
      <w:rPr>
        <w:sz w:val="16"/>
        <w:szCs w:val="16"/>
      </w:rPr>
      <w:t xml:space="preserve">ames </w:t>
    </w:r>
    <w:r w:rsidR="00FF3A20">
      <w:rPr>
        <w:sz w:val="16"/>
        <w:szCs w:val="16"/>
      </w:rPr>
      <w:t>Cantwell</w:t>
    </w:r>
    <w:r>
      <w:rPr>
        <w:sz w:val="16"/>
        <w:szCs w:val="16"/>
      </w:rPr>
      <w:t xml:space="preserve">, for </w:t>
    </w:r>
    <w:r w:rsidR="00066A86" w:rsidRPr="00066A86">
      <w:rPr>
        <w:sz w:val="16"/>
        <w:szCs w:val="16"/>
      </w:rPr>
      <w:t>Boston and Skegness Conservative Association</w:t>
    </w:r>
    <w:r w:rsidR="00066A86">
      <w:t xml:space="preserve"> </w:t>
    </w:r>
    <w:r>
      <w:rPr>
        <w:sz w:val="16"/>
        <w:szCs w:val="16"/>
      </w:rPr>
      <w:t xml:space="preserve">Lottery on behalf of </w:t>
    </w:r>
    <w:r w:rsidR="00066A86" w:rsidRPr="003C0B60">
      <w:rPr>
        <w:sz w:val="16"/>
        <w:szCs w:val="16"/>
      </w:rPr>
      <w:t>Boston and Skegness Conservative Association</w:t>
    </w:r>
    <w:r>
      <w:rPr>
        <w:sz w:val="16"/>
        <w:szCs w:val="16"/>
      </w:rPr>
      <w:t>, Conservative Club Chambers 16c Main Ridge West, Boston PE21 6QQ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EBBF" w14:textId="77777777" w:rsidR="00B84335" w:rsidRDefault="00B84335">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F8CE" w14:textId="77777777" w:rsidR="00DC5FB7" w:rsidRDefault="00DC5FB7">
      <w:pPr>
        <w:rPr>
          <w:rFonts w:hint="eastAsia"/>
        </w:rPr>
      </w:pPr>
      <w:r>
        <w:separator/>
      </w:r>
    </w:p>
  </w:footnote>
  <w:footnote w:type="continuationSeparator" w:id="0">
    <w:p w14:paraId="27DAD245" w14:textId="77777777" w:rsidR="00DC5FB7" w:rsidRDefault="00DC5FB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2B1B" w14:textId="77777777" w:rsidR="00BF3929" w:rsidRDefault="00BF3929">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CE55" w14:textId="22AFC30A" w:rsidR="00C74B57" w:rsidRDefault="00BB33FB">
    <w:pPr>
      <w:pStyle w:val="Header"/>
      <w:jc w:val="center"/>
      <w:rPr>
        <w:rFonts w:hint="eastAsia"/>
        <w:b/>
        <w:bCs/>
        <w:color w:val="729FCF"/>
        <w:sz w:val="56"/>
        <w:szCs w:val="56"/>
      </w:rPr>
    </w:pPr>
    <w:r>
      <w:rPr>
        <w:b/>
        <w:bCs/>
        <w:color w:val="729FCF"/>
        <w:sz w:val="56"/>
        <w:szCs w:val="56"/>
      </w:rPr>
      <w:t xml:space="preserve"> </w:t>
    </w:r>
    <w:r w:rsidR="003C35A8">
      <w:rPr>
        <w:b/>
        <w:bCs/>
        <w:color w:val="729FCF"/>
        <w:sz w:val="56"/>
        <w:szCs w:val="56"/>
      </w:rPr>
      <w:t xml:space="preserve">  </w:t>
    </w:r>
    <w:r>
      <w:rPr>
        <w:b/>
        <w:bCs/>
        <w:color w:val="729FCF"/>
        <w:sz w:val="56"/>
        <w:szCs w:val="56"/>
      </w:rPr>
      <w:t xml:space="preserve"> </w:t>
    </w:r>
    <w:r w:rsidR="00BF3929">
      <w:rPr>
        <w:noProof/>
      </w:rPr>
      <mc:AlternateContent>
        <mc:Choice Requires="wps">
          <w:drawing>
            <wp:anchor distT="0" distB="0" distL="114300" distR="114300" simplePos="0" relativeHeight="251657216" behindDoc="1" locked="0" layoutInCell="1" allowOverlap="1" wp14:anchorId="0ADF31DF" wp14:editId="2F88E21F">
              <wp:simplePos x="0" y="0"/>
              <wp:positionH relativeFrom="column">
                <wp:posOffset>612140</wp:posOffset>
              </wp:positionH>
              <wp:positionV relativeFrom="paragraph">
                <wp:posOffset>-394970</wp:posOffset>
              </wp:positionV>
              <wp:extent cx="5638800" cy="828675"/>
              <wp:effectExtent l="0" t="0" r="0" b="0"/>
              <wp:wrapNone/>
              <wp:docPr id="5"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828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14:paraId="1DAFA246" w14:textId="41604341" w:rsidR="00C74B57" w:rsidRDefault="00BB33FB">
                          <w:pPr>
                            <w:overflowPunct w:val="0"/>
                            <w:jc w:val="center"/>
                            <w:rPr>
                              <w:rFonts w:hint="eastAsia"/>
                              <w:color w:val="729FCF"/>
                              <w:sz w:val="56"/>
                              <w:szCs w:val="56"/>
                            </w:rPr>
                          </w:pPr>
                          <w:r w:rsidRPr="00BB33FB">
                            <w:rPr>
                              <w:color w:val="729FCF"/>
                              <w:sz w:val="56"/>
                              <w:szCs w:val="56"/>
                            </w:rPr>
                            <w:t>Boston</w:t>
                          </w:r>
                          <w:r w:rsidR="003C35A8">
                            <w:rPr>
                              <w:color w:val="729FCF"/>
                              <w:sz w:val="56"/>
                              <w:szCs w:val="56"/>
                            </w:rPr>
                            <w:t xml:space="preserve"> and Skegness </w:t>
                          </w:r>
                          <w:r w:rsidR="003C35A8" w:rsidRPr="00BB33FB">
                            <w:rPr>
                              <w:color w:val="729FCF"/>
                              <w:sz w:val="56"/>
                              <w:szCs w:val="56"/>
                            </w:rPr>
                            <w:t>Association</w:t>
                          </w:r>
                          <w:r w:rsidR="003C35A8">
                            <w:rPr>
                              <w:color w:val="729FCF"/>
                              <w:sz w:val="56"/>
                              <w:szCs w:val="56"/>
                            </w:rPr>
                            <w:t xml:space="preserve"> Lotter</w:t>
                          </w:r>
                          <w:r w:rsidR="003C35A8">
                            <w:rPr>
                              <w:rFonts w:hint="eastAsia"/>
                              <w:color w:val="729FCF"/>
                              <w:sz w:val="56"/>
                              <w:szCs w:val="56"/>
                            </w:rPr>
                            <w:t>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ADF31DF" id="_x0000_t202" coordsize="21600,21600" o:spt="202" path="m,l,21600r21600,l21600,xe">
              <v:stroke joinstyle="miter"/>
              <v:path gradientshapeok="t" o:connecttype="rect"/>
            </v:shapetype>
            <v:shape id=" 1" o:spid="_x0000_s1026" type="#_x0000_t202" style="position:absolute;left:0;text-align:left;margin-left:48.2pt;margin-top:-31.1pt;width:444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" filled="f" stroked="f" strokecolor="#3465a4">
              <v:stroke joinstyle="round"/>
              <v:path arrowok="t"/>
              <v:textbox inset="0,0,0,0">
                <w:txbxContent>
                  <w:p w14:paraId="1DAFA246" w14:textId="41604341" w:rsidR="00C74B57" w:rsidRDefault="00BB33FB">
                    <w:pPr>
                      <w:overflowPunct w:val="0"/>
                      <w:jc w:val="center"/>
                      <w:rPr>
                        <w:rFonts w:hint="eastAsia"/>
                        <w:color w:val="729FCF"/>
                        <w:sz w:val="56"/>
                        <w:szCs w:val="56"/>
                      </w:rPr>
                    </w:pPr>
                    <w:r w:rsidRPr="00BB33FB">
                      <w:rPr>
                        <w:color w:val="729FCF"/>
                        <w:sz w:val="56"/>
                        <w:szCs w:val="56"/>
                      </w:rPr>
                      <w:t>Boston</w:t>
                    </w:r>
                    <w:r w:rsidR="003C35A8">
                      <w:rPr>
                        <w:color w:val="729FCF"/>
                        <w:sz w:val="56"/>
                        <w:szCs w:val="56"/>
                      </w:rPr>
                      <w:t xml:space="preserve"> and Skegness </w:t>
                    </w:r>
                    <w:r w:rsidR="003C35A8" w:rsidRPr="00BB33FB">
                      <w:rPr>
                        <w:color w:val="729FCF"/>
                        <w:sz w:val="56"/>
                        <w:szCs w:val="56"/>
                      </w:rPr>
                      <w:t>Association</w:t>
                    </w:r>
                    <w:r w:rsidR="003C35A8">
                      <w:rPr>
                        <w:color w:val="729FCF"/>
                        <w:sz w:val="56"/>
                        <w:szCs w:val="56"/>
                      </w:rPr>
                      <w:t xml:space="preserve"> Lotter</w:t>
                    </w:r>
                    <w:r w:rsidR="003C35A8">
                      <w:rPr>
                        <w:rFonts w:hint="eastAsia"/>
                        <w:color w:val="729FCF"/>
                        <w:sz w:val="56"/>
                        <w:szCs w:val="56"/>
                      </w:rPr>
                      <w:t>y</w:t>
                    </w:r>
                  </w:p>
                </w:txbxContent>
              </v:textbox>
            </v:shape>
          </w:pict>
        </mc:Fallback>
      </mc:AlternateContent>
    </w:r>
    <w:r w:rsidR="00BF3929">
      <w:rPr>
        <w:noProof/>
      </w:rPr>
      <w:drawing>
        <wp:anchor distT="0" distB="0" distL="0" distR="0" simplePos="0" relativeHeight="251658240" behindDoc="0" locked="0" layoutInCell="1" allowOverlap="1" wp14:anchorId="31579C40" wp14:editId="091206B0">
          <wp:simplePos x="0" y="0"/>
          <wp:positionH relativeFrom="column">
            <wp:posOffset>-454660</wp:posOffset>
          </wp:positionH>
          <wp:positionV relativeFrom="paragraph">
            <wp:posOffset>-720090</wp:posOffset>
          </wp:positionV>
          <wp:extent cx="1710690" cy="1315720"/>
          <wp:effectExtent l="0" t="0" r="0" b="0"/>
          <wp:wrapSquare wrapText="largest"/>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l="-156" t="-203" r="-156" b="-203"/>
                  <a:stretch>
                    <a:fillRect/>
                  </a:stretch>
                </pic:blipFill>
                <pic:spPr bwMode="auto">
                  <a:xfrm>
                    <a:off x="0" y="0"/>
                    <a:ext cx="1710690" cy="13157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48C1" w14:textId="77777777" w:rsidR="00C74B57" w:rsidRDefault="00C74B57">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01008448">
    <w:abstractNumId w:val="0"/>
  </w:num>
  <w:num w:numId="2" w16cid:durableId="1708065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29"/>
    <w:rsid w:val="000560D3"/>
    <w:rsid w:val="00066A86"/>
    <w:rsid w:val="0020660C"/>
    <w:rsid w:val="003C0B60"/>
    <w:rsid w:val="003C35A8"/>
    <w:rsid w:val="00535B56"/>
    <w:rsid w:val="005F48C5"/>
    <w:rsid w:val="006627CC"/>
    <w:rsid w:val="0073542B"/>
    <w:rsid w:val="008B0A16"/>
    <w:rsid w:val="00B84335"/>
    <w:rsid w:val="00BB33FB"/>
    <w:rsid w:val="00BF3929"/>
    <w:rsid w:val="00C74B57"/>
    <w:rsid w:val="00CC161D"/>
    <w:rsid w:val="00DC5FB7"/>
    <w:rsid w:val="00F95CE2"/>
    <w:rsid w:val="00FF3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C43EA1"/>
  <w15:chartTrackingRefBased/>
  <w15:docId w15:val="{0AC6BE3E-03B4-8A44-B4B8-AAA52A66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Arial"/>
      <w:kern w:val="2"/>
      <w:sz w:val="24"/>
      <w:szCs w:val="24"/>
      <w:lang w:eastAsia="zh-CN" w:bidi="hi-IN"/>
    </w:rPr>
  </w:style>
  <w:style w:type="paragraph" w:styleId="Heading1">
    <w:name w:val="heading 1"/>
    <w:basedOn w:val="Heading"/>
    <w:next w:val="BodyText"/>
    <w:qFormat/>
    <w:pPr>
      <w:numPr>
        <w:numId w:val="1"/>
      </w:num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NumberingSymbols">
    <w:name w:val="Numbering Symbols"/>
  </w:style>
  <w:style w:type="character" w:styleId="Hyperlink">
    <w:name w:val="Hyperlink"/>
    <w:rPr>
      <w:color w:val="000080"/>
      <w:u w:val="single"/>
    </w:rPr>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6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James Cantwell</cp:lastModifiedBy>
  <cp:revision>2</cp:revision>
  <cp:lastPrinted>2021-10-27T13:50:00Z</cp:lastPrinted>
  <dcterms:created xsi:type="dcterms:W3CDTF">2025-05-03T10:34:00Z</dcterms:created>
  <dcterms:modified xsi:type="dcterms:W3CDTF">2025-05-03T10:34:00Z</dcterms:modified>
</cp:coreProperties>
</file>